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73489" w14:textId="48885B75" w:rsidR="00423816" w:rsidRPr="004D2FCE" w:rsidRDefault="00EE43DB" w:rsidP="001F7E60">
      <w:pPr>
        <w:spacing w:after="0" w:line="240" w:lineRule="auto"/>
        <w:jc w:val="both"/>
        <w:rPr>
          <w:rFonts w:ascii="Times New Roman" w:eastAsia="Times New Roman" w:hAnsi="Times New Roman" w:cs="Times New Roman"/>
          <w:sz w:val="24"/>
          <w:szCs w:val="24"/>
          <w:lang w:eastAsia="ro-RO"/>
        </w:rPr>
      </w:pPr>
      <w:bookmarkStart w:id="0" w:name="6517596"/>
      <w:bookmarkEnd w:id="0"/>
      <w:r w:rsidRPr="004D2FCE">
        <w:rPr>
          <w:rFonts w:ascii="Times New Roman" w:eastAsia="Times New Roman" w:hAnsi="Times New Roman" w:cs="Times New Roman"/>
          <w:sz w:val="24"/>
          <w:szCs w:val="24"/>
          <w:lang w:eastAsia="ro-RO"/>
        </w:rPr>
        <w:t>    Anex</w:t>
      </w:r>
      <w:r w:rsidR="004B7BFC" w:rsidRPr="004D2FCE">
        <w:rPr>
          <w:rFonts w:ascii="Times New Roman" w:eastAsia="Times New Roman" w:hAnsi="Times New Roman" w:cs="Times New Roman"/>
          <w:sz w:val="24"/>
          <w:szCs w:val="24"/>
          <w:lang w:eastAsia="ro-RO"/>
        </w:rPr>
        <w:t>ă</w:t>
      </w:r>
    </w:p>
    <w:p w14:paraId="32297158" w14:textId="5BDACC0F" w:rsidR="005A6C77" w:rsidRPr="004D2FCE" w:rsidRDefault="005A6C77" w:rsidP="001F7E60">
      <w:pPr>
        <w:spacing w:after="0" w:line="240" w:lineRule="auto"/>
        <w:jc w:val="both"/>
        <w:rPr>
          <w:rFonts w:ascii="Times New Roman" w:eastAsia="Times New Roman" w:hAnsi="Times New Roman" w:cs="Times New Roman"/>
          <w:sz w:val="24"/>
          <w:szCs w:val="24"/>
          <w:lang w:eastAsia="ro-RO"/>
        </w:rPr>
      </w:pPr>
      <w:r w:rsidRPr="004D2FCE">
        <w:rPr>
          <w:rFonts w:ascii="Times New Roman" w:eastAsia="Times New Roman" w:hAnsi="Times New Roman" w:cs="Times New Roman"/>
          <w:sz w:val="24"/>
          <w:szCs w:val="24"/>
          <w:lang w:eastAsia="ro-RO"/>
        </w:rPr>
        <w:t>(anexă la Ordinul nr. 487/2020)</w:t>
      </w:r>
    </w:p>
    <w:p w14:paraId="45575724" w14:textId="77777777" w:rsidR="00A70FF1" w:rsidRPr="004D2FCE" w:rsidRDefault="00A70FF1" w:rsidP="003F7471">
      <w:pPr>
        <w:spacing w:before="100" w:beforeAutospacing="1" w:after="100" w:afterAutospacing="1" w:line="240" w:lineRule="auto"/>
        <w:rPr>
          <w:rFonts w:ascii="Times New Roman" w:eastAsia="Times New Roman" w:hAnsi="Times New Roman" w:cs="Times New Roman"/>
          <w:b/>
          <w:iCs/>
          <w:sz w:val="24"/>
          <w:szCs w:val="24"/>
          <w:lang w:eastAsia="ro-RO"/>
        </w:rPr>
      </w:pPr>
    </w:p>
    <w:p w14:paraId="7D7F2AC5" w14:textId="3DB33A02" w:rsidR="00A70FF1" w:rsidRPr="004D2FCE" w:rsidRDefault="00EE43DB" w:rsidP="003F7471">
      <w:pPr>
        <w:spacing w:before="100" w:beforeAutospacing="1" w:after="100" w:afterAutospacing="1" w:line="240" w:lineRule="auto"/>
        <w:jc w:val="center"/>
        <w:rPr>
          <w:rFonts w:ascii="Times New Roman" w:eastAsia="Times New Roman" w:hAnsi="Times New Roman" w:cs="Times New Roman"/>
          <w:b/>
          <w:iCs/>
          <w:sz w:val="24"/>
          <w:szCs w:val="24"/>
          <w:lang w:eastAsia="ro-RO"/>
        </w:rPr>
      </w:pPr>
      <w:r w:rsidRPr="004D2FCE">
        <w:rPr>
          <w:rFonts w:ascii="Times New Roman" w:eastAsia="Times New Roman" w:hAnsi="Times New Roman" w:cs="Times New Roman"/>
          <w:b/>
          <w:iCs/>
          <w:sz w:val="24"/>
          <w:szCs w:val="24"/>
          <w:lang w:eastAsia="ro-RO"/>
        </w:rPr>
        <w:t>PROTOCOL</w:t>
      </w:r>
      <w:r w:rsidR="00E533B7" w:rsidRPr="004D2FCE">
        <w:rPr>
          <w:rFonts w:ascii="Times New Roman" w:eastAsia="Times New Roman" w:hAnsi="Times New Roman" w:cs="Times New Roman"/>
          <w:b/>
          <w:iCs/>
          <w:sz w:val="24"/>
          <w:szCs w:val="24"/>
          <w:lang w:eastAsia="ro-RO"/>
        </w:rPr>
        <w:t xml:space="preserve"> </w:t>
      </w:r>
      <w:r w:rsidRPr="004D2FCE">
        <w:rPr>
          <w:rFonts w:ascii="Times New Roman" w:eastAsia="Times New Roman" w:hAnsi="Times New Roman" w:cs="Times New Roman"/>
          <w:b/>
          <w:iCs/>
          <w:sz w:val="24"/>
          <w:szCs w:val="24"/>
          <w:lang w:eastAsia="ro-RO"/>
        </w:rPr>
        <w:t xml:space="preserve">de tratament al </w:t>
      </w:r>
      <w:r w:rsidR="00A70FF1" w:rsidRPr="004D2FCE">
        <w:rPr>
          <w:rFonts w:ascii="Times New Roman" w:eastAsia="Times New Roman" w:hAnsi="Times New Roman" w:cs="Times New Roman"/>
          <w:b/>
          <w:iCs/>
          <w:sz w:val="24"/>
          <w:szCs w:val="24"/>
          <w:lang w:eastAsia="ro-RO"/>
        </w:rPr>
        <w:t>infec</w:t>
      </w:r>
      <w:r w:rsidR="004B7BFC" w:rsidRPr="004D2FCE">
        <w:rPr>
          <w:rFonts w:ascii="Times New Roman" w:eastAsia="Times New Roman" w:hAnsi="Times New Roman" w:cs="Times New Roman"/>
          <w:b/>
          <w:iCs/>
          <w:sz w:val="24"/>
          <w:szCs w:val="24"/>
          <w:lang w:eastAsia="ro-RO"/>
        </w:rPr>
        <w:t>ț</w:t>
      </w:r>
      <w:r w:rsidR="00A70FF1" w:rsidRPr="004D2FCE">
        <w:rPr>
          <w:rFonts w:ascii="Times New Roman" w:eastAsia="Times New Roman" w:hAnsi="Times New Roman" w:cs="Times New Roman"/>
          <w:b/>
          <w:iCs/>
          <w:sz w:val="24"/>
          <w:szCs w:val="24"/>
          <w:lang w:eastAsia="ro-RO"/>
        </w:rPr>
        <w:t>iei cu virusul SARS-CoV-2</w:t>
      </w:r>
    </w:p>
    <w:p w14:paraId="1FC53053" w14:textId="77777777" w:rsidR="0097754E" w:rsidRPr="004D2FCE" w:rsidRDefault="0097754E" w:rsidP="003F7471">
      <w:pPr>
        <w:spacing w:before="100" w:beforeAutospacing="1" w:after="100" w:afterAutospacing="1" w:line="240" w:lineRule="auto"/>
        <w:jc w:val="center"/>
        <w:rPr>
          <w:rFonts w:ascii="Times New Roman" w:eastAsia="Times New Roman" w:hAnsi="Times New Roman" w:cs="Times New Roman"/>
          <w:b/>
          <w:iCs/>
          <w:sz w:val="24"/>
          <w:szCs w:val="24"/>
          <w:lang w:eastAsia="ro-RO"/>
        </w:rPr>
      </w:pPr>
    </w:p>
    <w:p w14:paraId="3DA0E751" w14:textId="7AB64648" w:rsidR="00022853" w:rsidRPr="004D2FCE" w:rsidRDefault="00EE43DB"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lang w:eastAsia="ro-RO"/>
        </w:rPr>
        <w:t> </w:t>
      </w:r>
      <w:r w:rsidR="00022853" w:rsidRPr="004D2FCE">
        <w:rPr>
          <w:rFonts w:ascii="Times New Roman" w:eastAsia="Times New Roman" w:hAnsi="Times New Roman" w:cs="Times New Roman"/>
          <w:sz w:val="24"/>
          <w:szCs w:val="24"/>
          <w:bdr w:val="none" w:sz="0" w:space="0" w:color="auto" w:frame="1"/>
          <w:shd w:val="clear" w:color="auto" w:fill="FFFFFF"/>
        </w:rPr>
        <w:t>Având în vedere acumularea de noi date clinice, precum și</w:t>
      </w:r>
      <w:r w:rsidR="00C337D0" w:rsidRPr="004D2FCE">
        <w:rPr>
          <w:rFonts w:ascii="Times New Roman" w:eastAsia="Times New Roman" w:hAnsi="Times New Roman" w:cs="Times New Roman"/>
          <w:sz w:val="24"/>
          <w:szCs w:val="24"/>
          <w:bdr w:val="none" w:sz="0" w:space="0" w:color="auto" w:frame="1"/>
          <w:shd w:val="clear" w:color="auto" w:fill="FFFFFF"/>
        </w:rPr>
        <w:t xml:space="preserve"> experiența dobândită în</w:t>
      </w:r>
      <w:r w:rsidR="00022853" w:rsidRPr="004D2FCE">
        <w:rPr>
          <w:rFonts w:ascii="Times New Roman" w:eastAsia="Times New Roman" w:hAnsi="Times New Roman" w:cs="Times New Roman"/>
          <w:sz w:val="24"/>
          <w:szCs w:val="24"/>
          <w:bdr w:val="none" w:sz="0" w:space="0" w:color="auto" w:frame="1"/>
          <w:shd w:val="clear" w:color="auto" w:fill="FFFFFF"/>
        </w:rPr>
        <w:t xml:space="preserve"> monitorizarea și îngrijirea în ambulatoriu a tot mai mul</w:t>
      </w:r>
      <w:r w:rsidR="0097754E" w:rsidRPr="004D2FCE">
        <w:rPr>
          <w:rFonts w:ascii="Times New Roman" w:eastAsia="Times New Roman" w:hAnsi="Times New Roman" w:cs="Times New Roman"/>
          <w:sz w:val="24"/>
          <w:szCs w:val="24"/>
          <w:bdr w:val="none" w:sz="0" w:space="0" w:color="auto" w:frame="1"/>
          <w:shd w:val="clear" w:color="auto" w:fill="FFFFFF"/>
        </w:rPr>
        <w:t>tor</w:t>
      </w:r>
      <w:r w:rsidR="00022853" w:rsidRPr="004D2FCE">
        <w:rPr>
          <w:rFonts w:ascii="Times New Roman" w:eastAsia="Times New Roman" w:hAnsi="Times New Roman" w:cs="Times New Roman"/>
          <w:sz w:val="24"/>
          <w:szCs w:val="24"/>
          <w:bdr w:val="none" w:sz="0" w:space="0" w:color="auto" w:frame="1"/>
          <w:shd w:val="clear" w:color="auto" w:fill="FFFFFF"/>
        </w:rPr>
        <w:t xml:space="preserve"> pacienți, </w:t>
      </w:r>
      <w:r w:rsidR="00022853" w:rsidRPr="004D2FCE">
        <w:rPr>
          <w:rFonts w:ascii="Times New Roman" w:eastAsia="Times New Roman" w:hAnsi="Times New Roman" w:cs="Times New Roman"/>
          <w:b/>
          <w:sz w:val="24"/>
          <w:szCs w:val="24"/>
          <w:bdr w:val="none" w:sz="0" w:space="0" w:color="auto" w:frame="1"/>
          <w:shd w:val="clear" w:color="auto" w:fill="FFFFFF"/>
        </w:rPr>
        <w:t>Comisia de boli infecțioase a Ministerului Sănătății</w:t>
      </w:r>
      <w:r w:rsidR="00022853" w:rsidRPr="004D2FCE">
        <w:rPr>
          <w:rFonts w:ascii="Times New Roman" w:eastAsia="Times New Roman" w:hAnsi="Times New Roman" w:cs="Times New Roman"/>
          <w:sz w:val="24"/>
          <w:szCs w:val="24"/>
          <w:bdr w:val="none" w:sz="0" w:space="0" w:color="auto" w:frame="1"/>
          <w:shd w:val="clear" w:color="auto" w:fill="FFFFFF"/>
        </w:rPr>
        <w:t xml:space="preserve"> propune un protocol de tratament revizuit pentru pacienții adulți. </w:t>
      </w:r>
      <w:r w:rsidR="00E47D8D" w:rsidRPr="004D2FCE">
        <w:rPr>
          <w:rFonts w:ascii="Times New Roman" w:eastAsia="Times New Roman" w:hAnsi="Times New Roman" w:cs="Times New Roman"/>
          <w:sz w:val="24"/>
          <w:szCs w:val="24"/>
          <w:bdr w:val="none" w:sz="0" w:space="0" w:color="auto" w:frame="1"/>
          <w:shd w:val="clear" w:color="auto" w:fill="FFFFFF"/>
        </w:rPr>
        <w:t>Aceste modificări ale protocolului privesc în primul rând terapia antivirală și au fost efectuate în conformitate și cu respectarea:</w:t>
      </w:r>
    </w:p>
    <w:p w14:paraId="584A5109" w14:textId="44F93FD8" w:rsidR="00E47D8D" w:rsidRPr="004D2FCE" w:rsidRDefault="00BD5A4E" w:rsidP="00BD5A4E">
      <w:pPr>
        <w:pStyle w:val="ListParagraph"/>
        <w:numPr>
          <w:ilvl w:val="0"/>
          <w:numId w:val="25"/>
        </w:num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RCP-urile actualizate ale antiviralelor utilizate în înfecția SARS-CoV-2 și a </w:t>
      </w:r>
      <w:r w:rsidR="00E47D8D" w:rsidRPr="004D2FCE">
        <w:rPr>
          <w:rFonts w:ascii="Times New Roman" w:eastAsia="Times New Roman" w:hAnsi="Times New Roman" w:cs="Times New Roman"/>
          <w:sz w:val="24"/>
          <w:szCs w:val="24"/>
          <w:bdr w:val="none" w:sz="0" w:space="0" w:color="auto" w:frame="1"/>
          <w:shd w:val="clear" w:color="auto" w:fill="FFFFFF"/>
        </w:rPr>
        <w:t xml:space="preserve">poziției actuale a </w:t>
      </w:r>
      <w:r w:rsidR="00E47D8D" w:rsidRPr="004D2FCE">
        <w:rPr>
          <w:rFonts w:ascii="Times New Roman" w:eastAsia="Times New Roman" w:hAnsi="Times New Roman" w:cs="Times New Roman"/>
          <w:i/>
          <w:sz w:val="24"/>
          <w:szCs w:val="24"/>
          <w:bdr w:val="none" w:sz="0" w:space="0" w:color="auto" w:frame="1"/>
          <w:shd w:val="clear" w:color="auto" w:fill="FFFFFF"/>
        </w:rPr>
        <w:t>European Medicines Agency</w:t>
      </w:r>
      <w:r w:rsidR="00E47D8D" w:rsidRPr="004D2FCE">
        <w:rPr>
          <w:rFonts w:ascii="Times New Roman" w:eastAsia="Times New Roman" w:hAnsi="Times New Roman" w:cs="Times New Roman"/>
          <w:sz w:val="24"/>
          <w:szCs w:val="24"/>
          <w:bdr w:val="none" w:sz="0" w:space="0" w:color="auto" w:frame="1"/>
          <w:shd w:val="clear" w:color="auto" w:fill="FFFFFF"/>
        </w:rPr>
        <w:t xml:space="preserve"> (EMA) în ceea ce privește autorizația de punere pe piață a medicamentelor antivirale pentru COVID-19 </w:t>
      </w:r>
      <w:r w:rsidR="00AD0989" w:rsidRPr="004D2FCE">
        <w:rPr>
          <w:rFonts w:ascii="Times New Roman" w:eastAsia="Times New Roman" w:hAnsi="Times New Roman" w:cs="Times New Roman"/>
          <w:sz w:val="24"/>
          <w:szCs w:val="24"/>
          <w:bdr w:val="none" w:sz="0" w:space="0" w:color="auto" w:frame="1"/>
          <w:shd w:val="clear" w:color="auto" w:fill="FFFFFF"/>
          <w:vertAlign w:val="superscript"/>
          <w:lang w:val="en-US"/>
        </w:rPr>
        <w:t>[</w:t>
      </w:r>
      <w:r w:rsidR="00E47D8D" w:rsidRPr="004D2FCE">
        <w:rPr>
          <w:rFonts w:ascii="Times New Roman" w:eastAsia="Times New Roman" w:hAnsi="Times New Roman" w:cs="Times New Roman"/>
          <w:sz w:val="24"/>
          <w:szCs w:val="24"/>
          <w:bdr w:val="none" w:sz="0" w:space="0" w:color="auto" w:frame="1"/>
          <w:shd w:val="clear" w:color="auto" w:fill="FFFFFF"/>
          <w:vertAlign w:val="superscript"/>
        </w:rPr>
        <w:t>1,2,3</w:t>
      </w:r>
      <w:r w:rsidR="00AD0989" w:rsidRPr="004D2FCE">
        <w:rPr>
          <w:rFonts w:ascii="Times New Roman" w:eastAsia="Times New Roman" w:hAnsi="Times New Roman" w:cs="Times New Roman"/>
          <w:sz w:val="24"/>
          <w:szCs w:val="24"/>
          <w:bdr w:val="none" w:sz="0" w:space="0" w:color="auto" w:frame="1"/>
          <w:shd w:val="clear" w:color="auto" w:fill="FFFFFF"/>
          <w:vertAlign w:val="superscript"/>
        </w:rPr>
        <w:t>]</w:t>
      </w:r>
      <w:r w:rsidR="00E47D8D" w:rsidRPr="004D2FCE">
        <w:rPr>
          <w:rFonts w:ascii="Times New Roman" w:eastAsia="Times New Roman" w:hAnsi="Times New Roman" w:cs="Times New Roman"/>
          <w:sz w:val="24"/>
          <w:szCs w:val="24"/>
          <w:bdr w:val="none" w:sz="0" w:space="0" w:color="auto" w:frame="1"/>
          <w:shd w:val="clear" w:color="auto" w:fill="FFFFFF"/>
        </w:rPr>
        <w:t>;</w:t>
      </w:r>
    </w:p>
    <w:p w14:paraId="7146DD80" w14:textId="7B90D23A" w:rsidR="00E47D8D" w:rsidRPr="004D2FCE" w:rsidRDefault="00E47D8D" w:rsidP="00E47D8D">
      <w:pPr>
        <w:pStyle w:val="ListParagraph"/>
        <w:numPr>
          <w:ilvl w:val="0"/>
          <w:numId w:val="25"/>
        </w:num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ghidurile internaționale de management în COVID 19 actualizate</w:t>
      </w:r>
      <w:r w:rsidR="00BD5A4E" w:rsidRPr="004D2FCE">
        <w:rPr>
          <w:rFonts w:ascii="Times New Roman" w:eastAsia="Times New Roman" w:hAnsi="Times New Roman" w:cs="Times New Roman"/>
          <w:sz w:val="24"/>
          <w:szCs w:val="24"/>
          <w:bdr w:val="none" w:sz="0" w:space="0" w:color="auto" w:frame="1"/>
          <w:shd w:val="clear" w:color="auto" w:fill="FFFFFF"/>
        </w:rPr>
        <w:t xml:space="preserve"> </w:t>
      </w:r>
      <w:r w:rsidR="00AD0989" w:rsidRPr="004D2FCE">
        <w:rPr>
          <w:rFonts w:ascii="Times New Roman" w:eastAsia="Times New Roman" w:hAnsi="Times New Roman" w:cs="Times New Roman"/>
          <w:sz w:val="24"/>
          <w:szCs w:val="24"/>
          <w:bdr w:val="none" w:sz="0" w:space="0" w:color="auto" w:frame="1"/>
          <w:shd w:val="clear" w:color="auto" w:fill="FFFFFF"/>
          <w:vertAlign w:val="superscript"/>
        </w:rPr>
        <w:t>[</w:t>
      </w:r>
      <w:r w:rsidR="00BD5A4E" w:rsidRPr="004D2FCE">
        <w:rPr>
          <w:rFonts w:ascii="Times New Roman" w:eastAsia="Times New Roman" w:hAnsi="Times New Roman" w:cs="Times New Roman"/>
          <w:sz w:val="24"/>
          <w:szCs w:val="24"/>
          <w:bdr w:val="none" w:sz="0" w:space="0" w:color="auto" w:frame="1"/>
          <w:shd w:val="clear" w:color="auto" w:fill="FFFFFF"/>
          <w:vertAlign w:val="superscript"/>
        </w:rPr>
        <w:t>4,5,6</w:t>
      </w:r>
      <w:r w:rsidR="00EB2737">
        <w:rPr>
          <w:rFonts w:ascii="Times New Roman" w:eastAsia="Times New Roman" w:hAnsi="Times New Roman" w:cs="Times New Roman"/>
          <w:sz w:val="24"/>
          <w:szCs w:val="24"/>
          <w:bdr w:val="none" w:sz="0" w:space="0" w:color="auto" w:frame="1"/>
          <w:shd w:val="clear" w:color="auto" w:fill="FFFFFF"/>
          <w:vertAlign w:val="superscript"/>
        </w:rPr>
        <w:t>,</w:t>
      </w:r>
      <w:bookmarkStart w:id="1" w:name="_GoBack"/>
      <w:bookmarkEnd w:id="1"/>
      <w:r w:rsidR="00EB2737">
        <w:rPr>
          <w:rFonts w:ascii="Times New Roman" w:eastAsia="Times New Roman" w:hAnsi="Times New Roman" w:cs="Times New Roman"/>
          <w:sz w:val="24"/>
          <w:szCs w:val="24"/>
          <w:bdr w:val="none" w:sz="0" w:space="0" w:color="auto" w:frame="1"/>
          <w:shd w:val="clear" w:color="auto" w:fill="FFFFFF"/>
          <w:vertAlign w:val="superscript"/>
        </w:rPr>
        <w:t>7</w:t>
      </w:r>
      <w:r w:rsidR="00AD0989" w:rsidRPr="004D2FCE">
        <w:rPr>
          <w:rFonts w:ascii="Times New Roman" w:eastAsia="Times New Roman" w:hAnsi="Times New Roman" w:cs="Times New Roman"/>
          <w:sz w:val="24"/>
          <w:szCs w:val="24"/>
          <w:bdr w:val="none" w:sz="0" w:space="0" w:color="auto" w:frame="1"/>
          <w:shd w:val="clear" w:color="auto" w:fill="FFFFFF"/>
          <w:vertAlign w:val="superscript"/>
        </w:rPr>
        <w:t>]</w:t>
      </w:r>
      <w:r w:rsidRPr="004D2FCE">
        <w:rPr>
          <w:rFonts w:ascii="Times New Roman" w:eastAsia="Times New Roman" w:hAnsi="Times New Roman" w:cs="Times New Roman"/>
          <w:sz w:val="24"/>
          <w:szCs w:val="24"/>
          <w:bdr w:val="none" w:sz="0" w:space="0" w:color="auto" w:frame="1"/>
          <w:shd w:val="clear" w:color="auto" w:fill="FFFFFF"/>
        </w:rPr>
        <w:t>.</w:t>
      </w:r>
    </w:p>
    <w:p w14:paraId="2E3A9A27"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85F095E" w14:textId="5D017A8C"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Acest protocol de tratament al infecției cu virusul SARS-CoV-2 abordează cazul general al pacienților cu COVID-19, fără a detalia situații particulare. Pentru realizarea acestuia au fost analizate prevederile documentelor emise de Organizația Mondială a Sănătății și de Centrul European de Prevenire și Control al Bolilor, ale unor ghiduri terapeutice</w:t>
      </w:r>
      <w:r w:rsidR="008957EB" w:rsidRPr="004D2FCE">
        <w:rPr>
          <w:rFonts w:ascii="Times New Roman" w:eastAsia="Times New Roman" w:hAnsi="Times New Roman" w:cs="Times New Roman"/>
          <w:sz w:val="24"/>
          <w:szCs w:val="24"/>
          <w:bdr w:val="none" w:sz="0" w:space="0" w:color="auto" w:frame="1"/>
          <w:shd w:val="clear" w:color="auto" w:fill="FFFFFF"/>
        </w:rPr>
        <w:t>, precum și a situației la zi privind autorizarea medicamentelor antivirale de către EMA</w:t>
      </w:r>
      <w:r w:rsidRPr="004D2FCE">
        <w:rPr>
          <w:rFonts w:ascii="Times New Roman" w:eastAsia="Times New Roman" w:hAnsi="Times New Roman" w:cs="Times New Roman"/>
          <w:sz w:val="24"/>
          <w:szCs w:val="24"/>
          <w:bdr w:val="none" w:sz="0" w:space="0" w:color="auto" w:frame="1"/>
          <w:shd w:val="clear" w:color="auto" w:fill="FFFFFF"/>
        </w:rPr>
        <w:t>.</w:t>
      </w:r>
    </w:p>
    <w:p w14:paraId="5ABB6A12" w14:textId="77777777" w:rsidR="00022853" w:rsidRPr="004D2FCE" w:rsidRDefault="00022853" w:rsidP="00DB2D5B">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3EFA0CD7" w14:textId="251048DF" w:rsidR="00022853" w:rsidRPr="004D2FCE" w:rsidRDefault="00434BEE"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A.</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RECOMANDĂRI PE SCURT</w:t>
      </w:r>
    </w:p>
    <w:p w14:paraId="2AB62090" w14:textId="77777777" w:rsidR="00022853" w:rsidRPr="004D2FCE" w:rsidRDefault="000228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80C0B15"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Persoana cu infecție asimptomatică cu SARS-CoV-2 nu necesită un tratament medicamentos.</w:t>
      </w:r>
    </w:p>
    <w:p w14:paraId="56907EFA"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064220D"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2.</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Îngrijirea pacienților cu forme ușoare de boală, în cazul pacienților fără factori de risc pentru evoluție severă, recurge la medicație simptomatică; simptomaticele pot fi utile și pentru pacienți cu forme mai severe de boală.</w:t>
      </w:r>
    </w:p>
    <w:p w14:paraId="380AFBF3"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1870621C"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3.</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Antiviralele au o eficiență cu atât mai mare cu cât sunt administrate mai devreme în cursul bolii, de preferat începând din primele zile de evoluție; raportul beneficiu/risc este cu atât mai mare cu cât pacientul are un risc mai mare de evoluție severă. De aceea antiviralele se administrează în primul rând pacienților cu forme nonsevere de boală care au factori de risc pentru evoluția severă.</w:t>
      </w:r>
    </w:p>
    <w:p w14:paraId="22F6B32E" w14:textId="77777777" w:rsidR="00D12C9B" w:rsidRPr="004D2FCE" w:rsidRDefault="00D12C9B" w:rsidP="008957EB">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R</w:t>
      </w:r>
      <w:r w:rsidR="00022853" w:rsidRPr="004D2FCE">
        <w:rPr>
          <w:rFonts w:ascii="Times New Roman" w:eastAsia="Times New Roman" w:hAnsi="Times New Roman" w:cs="Times New Roman"/>
          <w:sz w:val="24"/>
          <w:szCs w:val="24"/>
          <w:bdr w:val="none" w:sz="0" w:space="0" w:color="auto" w:frame="1"/>
          <w:shd w:val="clear" w:color="auto" w:fill="FFFFFF"/>
        </w:rPr>
        <w:t>emdesivir</w:t>
      </w:r>
      <w:r w:rsidRPr="004D2FCE">
        <w:rPr>
          <w:rFonts w:ascii="Times New Roman" w:eastAsia="Times New Roman" w:hAnsi="Times New Roman" w:cs="Times New Roman"/>
          <w:sz w:val="24"/>
          <w:szCs w:val="24"/>
          <w:bdr w:val="none" w:sz="0" w:space="0" w:color="auto" w:frame="1"/>
          <w:shd w:val="clear" w:color="auto" w:fill="FFFFFF"/>
        </w:rPr>
        <w:t>ul</w:t>
      </w:r>
      <w:r w:rsidR="00022853" w:rsidRPr="004D2FCE">
        <w:rPr>
          <w:rFonts w:ascii="Times New Roman" w:eastAsia="Times New Roman" w:hAnsi="Times New Roman" w:cs="Times New Roman"/>
          <w:sz w:val="24"/>
          <w:szCs w:val="24"/>
          <w:bdr w:val="none" w:sz="0" w:space="0" w:color="auto" w:frame="1"/>
          <w:shd w:val="clear" w:color="auto" w:fill="FFFFFF"/>
        </w:rPr>
        <w:t xml:space="preserve"> se recomandă </w:t>
      </w:r>
      <w:r w:rsidRPr="004D2FCE">
        <w:rPr>
          <w:rFonts w:ascii="Times New Roman" w:eastAsia="Times New Roman" w:hAnsi="Times New Roman" w:cs="Times New Roman"/>
          <w:sz w:val="24"/>
          <w:szCs w:val="24"/>
          <w:bdr w:val="none" w:sz="0" w:space="0" w:color="auto" w:frame="1"/>
          <w:shd w:val="clear" w:color="auto" w:fill="FFFFFF"/>
        </w:rPr>
        <w:t xml:space="preserve">la pacienții spitalizați, </w:t>
      </w:r>
      <w:r w:rsidR="00022853" w:rsidRPr="004D2FCE">
        <w:rPr>
          <w:rFonts w:ascii="Times New Roman" w:eastAsia="Times New Roman" w:hAnsi="Times New Roman" w:cs="Times New Roman"/>
          <w:sz w:val="24"/>
          <w:szCs w:val="24"/>
          <w:bdr w:val="none" w:sz="0" w:space="0" w:color="auto" w:frame="1"/>
          <w:shd w:val="clear" w:color="auto" w:fill="FFFFFF"/>
        </w:rPr>
        <w:t>în formele medii de boală la pacienți cu factori de risc pentru evolu</w:t>
      </w:r>
      <w:r w:rsidR="007B2168" w:rsidRPr="004D2FCE">
        <w:rPr>
          <w:rFonts w:ascii="Times New Roman" w:eastAsia="Times New Roman" w:hAnsi="Times New Roman" w:cs="Times New Roman"/>
          <w:sz w:val="24"/>
          <w:szCs w:val="24"/>
          <w:bdr w:val="none" w:sz="0" w:space="0" w:color="auto" w:frame="1"/>
          <w:shd w:val="clear" w:color="auto" w:fill="FFFFFF"/>
        </w:rPr>
        <w:t>ție severă și în formele severe</w:t>
      </w:r>
      <w:r w:rsidR="00022853" w:rsidRPr="004D2FCE">
        <w:rPr>
          <w:rFonts w:ascii="Times New Roman" w:eastAsia="Times New Roman" w:hAnsi="Times New Roman" w:cs="Times New Roman"/>
          <w:sz w:val="24"/>
          <w:szCs w:val="24"/>
          <w:bdr w:val="none" w:sz="0" w:space="0" w:color="auto" w:frame="1"/>
          <w:shd w:val="clear" w:color="auto" w:fill="FFFFFF"/>
        </w:rPr>
        <w:t xml:space="preserve">. </w:t>
      </w:r>
    </w:p>
    <w:p w14:paraId="4C05BA20" w14:textId="77777777" w:rsidR="00CE1F1F" w:rsidRPr="004D2FCE" w:rsidRDefault="00022853" w:rsidP="008957EB">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Antiviralele cu administrare orală (</w:t>
      </w:r>
      <w:r w:rsidR="00D12C9B" w:rsidRPr="004D2FCE">
        <w:rPr>
          <w:rFonts w:ascii="Times New Roman" w:eastAsia="Times New Roman" w:hAnsi="Times New Roman" w:cs="Times New Roman"/>
          <w:sz w:val="24"/>
          <w:szCs w:val="24"/>
          <w:bdr w:val="none" w:sz="0" w:space="0" w:color="auto" w:frame="1"/>
          <w:shd w:val="clear" w:color="auto" w:fill="FFFFFF"/>
        </w:rPr>
        <w:t xml:space="preserve">nirmatrelvir/ritonavir, </w:t>
      </w:r>
      <w:r w:rsidRPr="004D2FCE">
        <w:rPr>
          <w:rFonts w:ascii="Times New Roman" w:eastAsia="Times New Roman" w:hAnsi="Times New Roman" w:cs="Times New Roman"/>
          <w:sz w:val="24"/>
          <w:szCs w:val="24"/>
          <w:bdr w:val="none" w:sz="0" w:space="0" w:color="auto" w:frame="1"/>
          <w:shd w:val="clear" w:color="auto" w:fill="FFFFFF"/>
        </w:rPr>
        <w:t xml:space="preserve">molnupiravir) pot fi folosite în formele ușoare și medii de boală, la pacienții evaluați clinic, imagistic și biologic, atât la pacienții spitalizați cât și la cei tratați în ambulator. </w:t>
      </w:r>
    </w:p>
    <w:p w14:paraId="400D3F72" w14:textId="77777777" w:rsidR="00CE1F1F" w:rsidRPr="004D2FCE" w:rsidRDefault="00CE1F1F" w:rsidP="008957EB">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35ED14BB" w14:textId="57EE8548" w:rsidR="00B273DB" w:rsidRPr="004D2FCE" w:rsidRDefault="00CE1F1F" w:rsidP="00CC56DA">
      <w:pPr>
        <w:spacing w:after="0" w:line="240" w:lineRule="auto"/>
        <w:ind w:right="72"/>
        <w:jc w:val="both"/>
        <w:rPr>
          <w:rFonts w:ascii="Times New Roman" w:eastAsia="Times New Roman" w:hAnsi="Times New Roman" w:cs="Times New Roman"/>
          <w:strike/>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4. </w:t>
      </w:r>
      <w:r w:rsidR="00022853" w:rsidRPr="004D2FCE">
        <w:rPr>
          <w:rFonts w:ascii="Times New Roman" w:eastAsia="Times New Roman" w:hAnsi="Times New Roman" w:cs="Times New Roman"/>
          <w:sz w:val="24"/>
          <w:szCs w:val="24"/>
          <w:bdr w:val="none" w:sz="0" w:space="0" w:color="auto" w:frame="1"/>
          <w:shd w:val="clear" w:color="auto" w:fill="FFFFFF"/>
        </w:rPr>
        <w:t xml:space="preserve">Anticorpii monoclonali neutralizanți sunt recomandați în formele ușoare și medii de boală, cât mai repede după debutul bolii; efectul benefic este mai ridicat în cazul administrării la pacienții cu factori de risc pentru evoluția severă a COVID-19. Administrarea lor se va face în funcție de </w:t>
      </w:r>
      <w:r w:rsidR="00B57FEC" w:rsidRPr="004D2FCE">
        <w:rPr>
          <w:rFonts w:ascii="Times New Roman" w:eastAsia="Times New Roman" w:hAnsi="Times New Roman" w:cs="Times New Roman"/>
          <w:sz w:val="24"/>
          <w:szCs w:val="24"/>
          <w:bdr w:val="none" w:sz="0" w:space="0" w:color="auto" w:frame="1"/>
          <w:shd w:val="clear" w:color="auto" w:fill="FFFFFF"/>
        </w:rPr>
        <w:t xml:space="preserve">activitatea împotriva variantelor </w:t>
      </w:r>
      <w:r w:rsidR="00022853" w:rsidRPr="004D2FCE">
        <w:rPr>
          <w:rFonts w:ascii="Times New Roman" w:eastAsia="Times New Roman" w:hAnsi="Times New Roman" w:cs="Times New Roman"/>
          <w:sz w:val="24"/>
          <w:szCs w:val="24"/>
          <w:bdr w:val="none" w:sz="0" w:space="0" w:color="auto" w:frame="1"/>
          <w:shd w:val="clear" w:color="auto" w:fill="FFFFFF"/>
        </w:rPr>
        <w:t>virale majoritar circulante</w:t>
      </w:r>
      <w:r w:rsidR="00B57FEC" w:rsidRPr="004D2FCE">
        <w:rPr>
          <w:rFonts w:ascii="Times New Roman" w:eastAsia="Times New Roman" w:hAnsi="Times New Roman" w:cs="Times New Roman"/>
          <w:sz w:val="24"/>
          <w:szCs w:val="24"/>
          <w:bdr w:val="none" w:sz="0" w:space="0" w:color="auto" w:frame="1"/>
          <w:shd w:val="clear" w:color="auto" w:fill="FFFFFF"/>
        </w:rPr>
        <w:t xml:space="preserve">; aceasta necesită actualizarea continuă a datelor privind circulația variantelor de SARS CoV-2. </w:t>
      </w:r>
      <w:r w:rsidR="00022853" w:rsidRPr="004D2FCE">
        <w:rPr>
          <w:rFonts w:ascii="Times New Roman" w:eastAsia="Times New Roman" w:hAnsi="Times New Roman" w:cs="Times New Roman"/>
          <w:sz w:val="24"/>
          <w:szCs w:val="24"/>
          <w:bdr w:val="none" w:sz="0" w:space="0" w:color="auto" w:frame="1"/>
          <w:shd w:val="clear" w:color="auto" w:fill="FFFFFF"/>
        </w:rPr>
        <w:t xml:space="preserve"> </w:t>
      </w:r>
    </w:p>
    <w:p w14:paraId="7F86431C" w14:textId="63412C76" w:rsidR="00022853" w:rsidRPr="004D2FCE" w:rsidRDefault="00FB358F" w:rsidP="00CC56DA">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 xml:space="preserve">Anticorpii monoclonali disponibili nu sunt eficienți pe variantele virale circulante </w:t>
      </w:r>
      <w:r w:rsidR="00CC56DA" w:rsidRPr="004D2FCE">
        <w:rPr>
          <w:rFonts w:ascii="Times New Roman" w:eastAsia="Times New Roman" w:hAnsi="Times New Roman" w:cs="Times New Roman"/>
          <w:b/>
          <w:sz w:val="24"/>
          <w:szCs w:val="24"/>
          <w:bdr w:val="none" w:sz="0" w:space="0" w:color="auto" w:frame="1"/>
          <w:shd w:val="clear" w:color="auto" w:fill="FFFFFF"/>
        </w:rPr>
        <w:t>în mai 2023</w:t>
      </w:r>
      <w:r w:rsidRPr="004D2FCE">
        <w:rPr>
          <w:rFonts w:ascii="Times New Roman" w:eastAsia="Times New Roman" w:hAnsi="Times New Roman" w:cs="Times New Roman"/>
          <w:sz w:val="24"/>
          <w:szCs w:val="24"/>
          <w:bdr w:val="none" w:sz="0" w:space="0" w:color="auto" w:frame="1"/>
          <w:shd w:val="clear" w:color="auto" w:fill="FFFFFF"/>
        </w:rPr>
        <w:t>.</w:t>
      </w:r>
    </w:p>
    <w:p w14:paraId="3AF2B643"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C46EA48" w14:textId="63397332" w:rsidR="00022853" w:rsidRPr="004D2FCE" w:rsidRDefault="00CC56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5</w:t>
      </w:r>
      <w:r w:rsidR="00022853" w:rsidRPr="004D2FCE">
        <w:rPr>
          <w:rFonts w:ascii="Times New Roman" w:eastAsia="Times New Roman" w:hAnsi="Times New Roman" w:cs="Times New Roman"/>
          <w:b/>
          <w:bCs/>
          <w:sz w:val="24"/>
          <w:szCs w:val="24"/>
          <w:bdr w:val="none" w:sz="0" w:space="0" w:color="auto" w:frame="1"/>
          <w:shd w:val="clear" w:color="auto" w:fill="FFFFFF"/>
        </w:rPr>
        <w:t>.</w:t>
      </w:r>
      <w:r w:rsidR="00022853" w:rsidRPr="004D2FCE">
        <w:rPr>
          <w:rFonts w:ascii="Times New Roman" w:eastAsia="Times New Roman" w:hAnsi="Times New Roman" w:cs="Times New Roman"/>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bdr w:val="none" w:sz="0" w:space="0" w:color="auto" w:frame="1"/>
          <w:shd w:val="clear" w:color="auto" w:fill="FFFFFF"/>
        </w:rPr>
        <w:t>Tratamentul antiinflamator cu corticoizi (de preferat dexametazonă) este indicat la pacienții cu inflamație sistemică, care necesită administrare de oxigen.</w:t>
      </w:r>
    </w:p>
    <w:p w14:paraId="02C545E0"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7F04A5C2" w14:textId="2DCB222E" w:rsidR="00022853" w:rsidRPr="004D2FCE" w:rsidRDefault="008957EB" w:rsidP="00CC56DA">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6</w:t>
      </w:r>
      <w:r w:rsidR="00022853" w:rsidRPr="004D2FCE">
        <w:rPr>
          <w:rFonts w:ascii="Times New Roman" w:eastAsia="Times New Roman" w:hAnsi="Times New Roman" w:cs="Times New Roman"/>
          <w:b/>
          <w:bCs/>
          <w:sz w:val="24"/>
          <w:szCs w:val="24"/>
          <w:bdr w:val="none" w:sz="0" w:space="0" w:color="auto" w:frame="1"/>
          <w:shd w:val="clear" w:color="auto" w:fill="FFFFFF"/>
        </w:rPr>
        <w:t>.</w:t>
      </w:r>
      <w:r w:rsidR="00022853" w:rsidRPr="004D2FCE">
        <w:rPr>
          <w:rFonts w:ascii="Times New Roman" w:eastAsia="Times New Roman" w:hAnsi="Times New Roman" w:cs="Times New Roman"/>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bdr w:val="none" w:sz="0" w:space="0" w:color="auto" w:frame="1"/>
          <w:shd w:val="clear" w:color="auto" w:fill="FFFFFF"/>
        </w:rPr>
        <w:t>Imunomodulatoarele sunt rezervate doar cazurilor cu inflamație excesivă și deteriorare clinică rapid progresivă, necontrolată de corticoizi în doză antiinflamatorie, iar alegerea lor va depinde de eficiență, de efectele adverse posibile și de disponibilitatea lor la un moment dat.</w:t>
      </w:r>
    </w:p>
    <w:p w14:paraId="7D49C818"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42D452F8" w14:textId="752A5709" w:rsidR="00022853" w:rsidRPr="004D2FCE" w:rsidRDefault="00CC56DA" w:rsidP="001F7E60">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lastRenderedPageBreak/>
        <w:t>7</w:t>
      </w:r>
      <w:r w:rsidR="00022853" w:rsidRPr="004D2FCE">
        <w:rPr>
          <w:rFonts w:ascii="Times New Roman" w:eastAsia="Times New Roman" w:hAnsi="Times New Roman" w:cs="Times New Roman"/>
          <w:b/>
          <w:bCs/>
          <w:sz w:val="24"/>
          <w:szCs w:val="24"/>
          <w:bdr w:val="none" w:sz="0" w:space="0" w:color="auto" w:frame="1"/>
          <w:shd w:val="clear" w:color="auto" w:fill="FFFFFF"/>
        </w:rPr>
        <w:t>.</w:t>
      </w:r>
      <w:r w:rsidR="00022853" w:rsidRPr="004D2FCE">
        <w:rPr>
          <w:rFonts w:ascii="Times New Roman" w:eastAsia="Times New Roman" w:hAnsi="Times New Roman" w:cs="Times New Roman"/>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bdr w:val="none" w:sz="0" w:space="0" w:color="auto" w:frame="1"/>
          <w:shd w:val="clear" w:color="auto" w:fill="FFFFFF"/>
        </w:rPr>
        <w:t>Administrarea profilactică de anticoagulant este indicată tuturor pacienților spitalizați</w:t>
      </w:r>
      <w:r w:rsidRPr="004D2FCE">
        <w:rPr>
          <w:rFonts w:ascii="Times New Roman" w:eastAsia="Times New Roman" w:hAnsi="Times New Roman" w:cs="Times New Roman"/>
          <w:sz w:val="24"/>
          <w:szCs w:val="24"/>
          <w:bdr w:val="none" w:sz="0" w:space="0" w:color="auto" w:frame="1"/>
          <w:shd w:val="clear" w:color="auto" w:fill="FFFFFF"/>
        </w:rPr>
        <w:t xml:space="preserve"> pentru forme medii și severe de COVID19</w:t>
      </w:r>
      <w:r w:rsidR="00022853" w:rsidRPr="004D2FCE">
        <w:rPr>
          <w:rFonts w:ascii="Times New Roman" w:eastAsia="Times New Roman" w:hAnsi="Times New Roman" w:cs="Times New Roman"/>
          <w:sz w:val="24"/>
          <w:szCs w:val="24"/>
          <w:bdr w:val="none" w:sz="0" w:space="0" w:color="auto" w:frame="1"/>
          <w:shd w:val="clear" w:color="auto" w:fill="FFFFFF"/>
        </w:rPr>
        <w:t>, cu excepția celor care primesc deja un tratament anticoagulant și care vor continua să primească doze terapeutice.</w:t>
      </w:r>
    </w:p>
    <w:p w14:paraId="620DDDB1" w14:textId="77777777" w:rsidR="001F7E60" w:rsidRPr="004D2FCE" w:rsidRDefault="001F7E60" w:rsidP="001F7E60">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67FDC04" w14:textId="38020EC7" w:rsidR="00022853" w:rsidRPr="004D2FCE" w:rsidRDefault="00CC56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8</w:t>
      </w:r>
      <w:r w:rsidR="00022853" w:rsidRPr="004D2FCE">
        <w:rPr>
          <w:rFonts w:ascii="Times New Roman" w:eastAsia="Times New Roman" w:hAnsi="Times New Roman" w:cs="Times New Roman"/>
          <w:b/>
          <w:bCs/>
          <w:sz w:val="24"/>
          <w:szCs w:val="24"/>
          <w:bdr w:val="none" w:sz="0" w:space="0" w:color="auto" w:frame="1"/>
          <w:shd w:val="clear" w:color="auto" w:fill="FFFFFF"/>
        </w:rPr>
        <w:t>.</w:t>
      </w:r>
      <w:r w:rsidR="00022853" w:rsidRPr="004D2FCE">
        <w:rPr>
          <w:rFonts w:ascii="Times New Roman" w:eastAsia="Times New Roman" w:hAnsi="Times New Roman" w:cs="Times New Roman"/>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bdr w:val="none" w:sz="0" w:space="0" w:color="auto" w:frame="1"/>
          <w:shd w:val="clear" w:color="auto" w:fill="FFFFFF"/>
        </w:rPr>
        <w:t>Stabilirea riscului tromboembolic se poate face cu scoruri consacrate pentru alte afecțiuni la care se adaugă și factori de risc specifici legați de COVID-19.</w:t>
      </w:r>
    </w:p>
    <w:p w14:paraId="773D73F8"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B96DF64" w14:textId="3E916753" w:rsidR="00022853" w:rsidRPr="004D2FCE" w:rsidRDefault="00CC56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9</w:t>
      </w:r>
      <w:r w:rsidR="00022853" w:rsidRPr="004D2FCE">
        <w:rPr>
          <w:rFonts w:ascii="Times New Roman" w:eastAsia="Times New Roman" w:hAnsi="Times New Roman" w:cs="Times New Roman"/>
          <w:b/>
          <w:bCs/>
          <w:sz w:val="24"/>
          <w:szCs w:val="24"/>
          <w:bdr w:val="none" w:sz="0" w:space="0" w:color="auto" w:frame="1"/>
          <w:shd w:val="clear" w:color="auto" w:fill="FFFFFF"/>
        </w:rPr>
        <w:t>.</w:t>
      </w:r>
      <w:r w:rsidR="00022853" w:rsidRPr="004D2FCE">
        <w:rPr>
          <w:rFonts w:ascii="Times New Roman" w:eastAsia="Times New Roman" w:hAnsi="Times New Roman" w:cs="Times New Roman"/>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bdr w:val="none" w:sz="0" w:space="0" w:color="auto" w:frame="1"/>
          <w:shd w:val="clear" w:color="auto" w:fill="FFFFFF"/>
        </w:rPr>
        <w:t>Administrarea de doze terapeutice de anticoagulant se face pentru indicațiile standard, dar și pentru pacienți cu COVID-19 cu risc tromboembolic mare (agravarea suferinței respiratorii și/sau sindrom inflamator marcat) și risc hemoragic mic.</w:t>
      </w:r>
    </w:p>
    <w:p w14:paraId="6F7441AD"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5A08719F" w14:textId="0539B3C9"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w:t>
      </w:r>
      <w:r w:rsidR="00CC56DA" w:rsidRPr="004D2FCE">
        <w:rPr>
          <w:rFonts w:ascii="Times New Roman" w:eastAsia="Times New Roman" w:hAnsi="Times New Roman" w:cs="Times New Roman"/>
          <w:b/>
          <w:bCs/>
          <w:sz w:val="24"/>
          <w:szCs w:val="24"/>
          <w:bdr w:val="none" w:sz="0" w:space="0" w:color="auto" w:frame="1"/>
          <w:shd w:val="clear" w:color="auto" w:fill="FFFFFF"/>
        </w:rPr>
        <w:t>0</w:t>
      </w:r>
      <w:r w:rsidRPr="004D2FCE">
        <w:rPr>
          <w:rFonts w:ascii="Times New Roman" w:eastAsia="Times New Roman" w:hAnsi="Times New Roman" w:cs="Times New Roman"/>
          <w:b/>
          <w:bCs/>
          <w:sz w:val="24"/>
          <w:szCs w:val="24"/>
          <w:bdr w:val="none" w:sz="0" w:space="0" w:color="auto" w:frame="1"/>
          <w:shd w:val="clear" w:color="auto" w:fill="FFFFFF"/>
        </w:rPr>
        <w:t>.</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Antibioticele nu se utilizează în tratamentul COVID-19. Ele ar trebui prescrise foarte rar de la începutul tratamentului, deoarece coinfecțiile bacteriene simultane infecției cu SARS-CoV-2 sunt foarte rare; se administrează antibiotic doar dacă este demonstrată o infecție bacteriană concomitentă.</w:t>
      </w:r>
    </w:p>
    <w:p w14:paraId="64015DA4" w14:textId="5231655E"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Inițierea tratamentului antibiotic pe parcursul îngrijirii pacientului cu COVID-19 se face dacă s-a produs o suprainfecție bacteriană.</w:t>
      </w:r>
    </w:p>
    <w:p w14:paraId="72E2F2E8"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78DA413" w14:textId="4E0B6460"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w:t>
      </w:r>
      <w:r w:rsidR="00CC56DA" w:rsidRPr="004D2FCE">
        <w:rPr>
          <w:rFonts w:ascii="Times New Roman" w:eastAsia="Times New Roman" w:hAnsi="Times New Roman" w:cs="Times New Roman"/>
          <w:b/>
          <w:bCs/>
          <w:sz w:val="24"/>
          <w:szCs w:val="24"/>
          <w:bdr w:val="none" w:sz="0" w:space="0" w:color="auto" w:frame="1"/>
          <w:shd w:val="clear" w:color="auto" w:fill="FFFFFF"/>
        </w:rPr>
        <w:t>1</w:t>
      </w:r>
      <w:r w:rsidRPr="004D2FCE">
        <w:rPr>
          <w:rFonts w:ascii="Times New Roman" w:eastAsia="Times New Roman" w:hAnsi="Times New Roman" w:cs="Times New Roman"/>
          <w:b/>
          <w:bCs/>
          <w:sz w:val="24"/>
          <w:szCs w:val="24"/>
          <w:bdr w:val="none" w:sz="0" w:space="0" w:color="auto" w:frame="1"/>
          <w:shd w:val="clear" w:color="auto" w:fill="FFFFFF"/>
        </w:rPr>
        <w:t>.</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Alegerea antibioticelor pentru situațiile rare de infecție bacteriană concomitentă sau supraadăugată trebuie să țină cont de eficiență, dar și de riscurile de dismicrobisme: infecții cu C. difficile, selectarea de tulpini bacteriene rezistente la antibiotice.</w:t>
      </w:r>
    </w:p>
    <w:p w14:paraId="182C996F"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206F7D7" w14:textId="4C69BAC1"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w:t>
      </w:r>
      <w:r w:rsidR="00CC56DA" w:rsidRPr="004D2FCE">
        <w:rPr>
          <w:rFonts w:ascii="Times New Roman" w:eastAsia="Times New Roman" w:hAnsi="Times New Roman" w:cs="Times New Roman"/>
          <w:b/>
          <w:bCs/>
          <w:sz w:val="24"/>
          <w:szCs w:val="24"/>
          <w:bdr w:val="none" w:sz="0" w:space="0" w:color="auto" w:frame="1"/>
          <w:shd w:val="clear" w:color="auto" w:fill="FFFFFF"/>
        </w:rPr>
        <w:t>2</w:t>
      </w:r>
      <w:r w:rsidRPr="004D2FCE">
        <w:rPr>
          <w:rFonts w:ascii="Times New Roman" w:eastAsia="Times New Roman" w:hAnsi="Times New Roman" w:cs="Times New Roman"/>
          <w:b/>
          <w:bCs/>
          <w:sz w:val="24"/>
          <w:szCs w:val="24"/>
          <w:bdr w:val="none" w:sz="0" w:space="0" w:color="auto" w:frame="1"/>
          <w:shd w:val="clear" w:color="auto" w:fill="FFFFFF"/>
        </w:rPr>
        <w:t>.</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Pentru infecții asociate asistenței medicale de etiologie bacteriană care apar în timpul îngrijirii pacienților cu COVID-19 este important să fie decis tratamentul în raport cu circulația bacteriană în respectivul spital.</w:t>
      </w:r>
    </w:p>
    <w:p w14:paraId="2C6B39CF"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72664F63" w14:textId="7CD5F71B" w:rsidR="00022853" w:rsidRPr="004D2FCE" w:rsidRDefault="00022853" w:rsidP="00CC56DA">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w:t>
      </w:r>
      <w:r w:rsidR="00CC56DA" w:rsidRPr="004D2FCE">
        <w:rPr>
          <w:rFonts w:ascii="Times New Roman" w:eastAsia="Times New Roman" w:hAnsi="Times New Roman" w:cs="Times New Roman"/>
          <w:b/>
          <w:bCs/>
          <w:sz w:val="24"/>
          <w:szCs w:val="24"/>
          <w:bdr w:val="none" w:sz="0" w:space="0" w:color="auto" w:frame="1"/>
          <w:shd w:val="clear" w:color="auto" w:fill="FFFFFF"/>
        </w:rPr>
        <w:t>3</w:t>
      </w:r>
      <w:r w:rsidRPr="004D2FCE">
        <w:rPr>
          <w:rFonts w:ascii="Times New Roman" w:eastAsia="Times New Roman" w:hAnsi="Times New Roman" w:cs="Times New Roman"/>
          <w:b/>
          <w:bCs/>
          <w:sz w:val="24"/>
          <w:szCs w:val="24"/>
          <w:bdr w:val="none" w:sz="0" w:space="0" w:color="auto" w:frame="1"/>
          <w:shd w:val="clear" w:color="auto" w:fill="FFFFFF"/>
        </w:rPr>
        <w:t>.</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Principalul suport pentru pacienții cu forme severe și critice de COVID-19 este corectarea hipoxemiei, la care este necesar să aibă acces rapid pacienții cu forme severe/critice.</w:t>
      </w:r>
    </w:p>
    <w:p w14:paraId="608CD486"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15C1FCC9" w14:textId="3BC276E0"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w:t>
      </w:r>
      <w:r w:rsidR="00CC56DA" w:rsidRPr="004D2FCE">
        <w:rPr>
          <w:rFonts w:ascii="Times New Roman" w:eastAsia="Times New Roman" w:hAnsi="Times New Roman" w:cs="Times New Roman"/>
          <w:b/>
          <w:bCs/>
          <w:sz w:val="24"/>
          <w:szCs w:val="24"/>
          <w:bdr w:val="none" w:sz="0" w:space="0" w:color="auto" w:frame="1"/>
          <w:shd w:val="clear" w:color="auto" w:fill="FFFFFF"/>
        </w:rPr>
        <w:t>4</w:t>
      </w:r>
      <w:r w:rsidRPr="004D2FCE">
        <w:rPr>
          <w:rFonts w:ascii="Times New Roman" w:eastAsia="Times New Roman" w:hAnsi="Times New Roman" w:cs="Times New Roman"/>
          <w:b/>
          <w:bCs/>
          <w:sz w:val="24"/>
          <w:szCs w:val="24"/>
          <w:bdr w:val="none" w:sz="0" w:space="0" w:color="auto" w:frame="1"/>
          <w:shd w:val="clear" w:color="auto" w:fill="FFFFFF"/>
        </w:rPr>
        <w:t>.</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Colaborarea dintre medici din diverse specialități medicale este necesară pentru a putea îngriji manifestările variate/complexe ale COVID-19.</w:t>
      </w:r>
    </w:p>
    <w:p w14:paraId="2911D352" w14:textId="77777777" w:rsidR="00022853" w:rsidRPr="004D2FCE"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2BE4CBFA" w14:textId="449590EC"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w:t>
      </w:r>
      <w:r w:rsidR="00CC56DA" w:rsidRPr="004D2FCE">
        <w:rPr>
          <w:rFonts w:ascii="Times New Roman" w:eastAsia="Times New Roman" w:hAnsi="Times New Roman" w:cs="Times New Roman"/>
          <w:b/>
          <w:bCs/>
          <w:sz w:val="24"/>
          <w:szCs w:val="24"/>
          <w:bdr w:val="none" w:sz="0" w:space="0" w:color="auto" w:frame="1"/>
          <w:shd w:val="clear" w:color="auto" w:fill="FFFFFF"/>
        </w:rPr>
        <w:t>5</w:t>
      </w:r>
      <w:r w:rsidRPr="004D2FCE">
        <w:rPr>
          <w:rFonts w:ascii="Times New Roman" w:eastAsia="Times New Roman" w:hAnsi="Times New Roman" w:cs="Times New Roman"/>
          <w:b/>
          <w:bCs/>
          <w:sz w:val="24"/>
          <w:szCs w:val="24"/>
          <w:bdr w:val="none" w:sz="0" w:space="0" w:color="auto" w:frame="1"/>
          <w:shd w:val="clear" w:color="auto" w:fill="FFFFFF"/>
        </w:rPr>
        <w:t>.</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Utilizarea de antibiotice și</w:t>
      </w:r>
      <w:r w:rsidR="00CC56DA" w:rsidRPr="004D2FCE">
        <w:rPr>
          <w:rFonts w:ascii="Times New Roman" w:eastAsia="Times New Roman" w:hAnsi="Times New Roman" w:cs="Times New Roman"/>
          <w:sz w:val="24"/>
          <w:szCs w:val="24"/>
          <w:bdr w:val="none" w:sz="0" w:space="0" w:color="auto" w:frame="1"/>
          <w:shd w:val="clear" w:color="auto" w:fill="FFFFFF"/>
        </w:rPr>
        <w:t xml:space="preserve"> </w:t>
      </w:r>
      <w:r w:rsidRPr="004D2FCE">
        <w:rPr>
          <w:rFonts w:ascii="Times New Roman" w:eastAsia="Times New Roman" w:hAnsi="Times New Roman" w:cs="Times New Roman"/>
          <w:sz w:val="24"/>
          <w:szCs w:val="24"/>
          <w:bdr w:val="none" w:sz="0" w:space="0" w:color="auto" w:frame="1"/>
          <w:shd w:val="clear" w:color="auto" w:fill="FFFFFF"/>
        </w:rPr>
        <w:t xml:space="preserve">corticoizi la </w:t>
      </w:r>
      <w:r w:rsidR="00445815" w:rsidRPr="004D2FCE">
        <w:rPr>
          <w:rFonts w:ascii="Times New Roman" w:eastAsia="Times New Roman" w:hAnsi="Times New Roman" w:cs="Times New Roman"/>
          <w:sz w:val="24"/>
          <w:szCs w:val="24"/>
          <w:bdr w:val="none" w:sz="0" w:space="0" w:color="auto" w:frame="1"/>
          <w:shd w:val="clear" w:color="auto" w:fill="FFFFFF"/>
        </w:rPr>
        <w:t xml:space="preserve">pacienții cu forme ușoare de boală, monitorizați la </w:t>
      </w:r>
      <w:r w:rsidRPr="004D2FCE">
        <w:rPr>
          <w:rFonts w:ascii="Times New Roman" w:eastAsia="Times New Roman" w:hAnsi="Times New Roman" w:cs="Times New Roman"/>
          <w:sz w:val="24"/>
          <w:szCs w:val="24"/>
          <w:bdr w:val="none" w:sz="0" w:space="0" w:color="auto" w:frame="1"/>
          <w:shd w:val="clear" w:color="auto" w:fill="FFFFFF"/>
        </w:rPr>
        <w:t xml:space="preserve">domiciliu </w:t>
      </w:r>
      <w:r w:rsidR="00CC56DA" w:rsidRPr="004D2FCE">
        <w:rPr>
          <w:rFonts w:ascii="Times New Roman" w:eastAsia="Times New Roman" w:hAnsi="Times New Roman" w:cs="Times New Roman"/>
          <w:sz w:val="24"/>
          <w:szCs w:val="24"/>
          <w:bdr w:val="none" w:sz="0" w:space="0" w:color="auto" w:frame="1"/>
          <w:shd w:val="clear" w:color="auto" w:fill="FFFFFF"/>
        </w:rPr>
        <w:t>este contraindicată</w:t>
      </w:r>
      <w:r w:rsidR="00445815" w:rsidRPr="004D2FCE">
        <w:rPr>
          <w:rFonts w:ascii="Times New Roman" w:eastAsia="Times New Roman" w:hAnsi="Times New Roman" w:cs="Times New Roman"/>
          <w:sz w:val="24"/>
          <w:szCs w:val="24"/>
          <w:bdr w:val="none" w:sz="0" w:space="0" w:color="auto" w:frame="1"/>
          <w:shd w:val="clear" w:color="auto" w:fill="FFFFFF"/>
        </w:rPr>
        <w:t xml:space="preserve"> și ineficentă;</w:t>
      </w:r>
      <w:r w:rsidRPr="004D2FCE">
        <w:rPr>
          <w:rFonts w:ascii="Times New Roman" w:eastAsia="Times New Roman" w:hAnsi="Times New Roman" w:cs="Times New Roman"/>
          <w:sz w:val="24"/>
          <w:szCs w:val="24"/>
          <w:bdr w:val="none" w:sz="0" w:space="0" w:color="auto" w:frame="1"/>
          <w:shd w:val="clear" w:color="auto" w:fill="FFFFFF"/>
        </w:rPr>
        <w:t xml:space="preserve"> </w:t>
      </w:r>
      <w:r w:rsidR="00445815" w:rsidRPr="004D2FCE">
        <w:rPr>
          <w:rFonts w:ascii="Times New Roman" w:eastAsia="Times New Roman" w:hAnsi="Times New Roman" w:cs="Times New Roman"/>
          <w:sz w:val="24"/>
          <w:szCs w:val="24"/>
          <w:bdr w:val="none" w:sz="0" w:space="0" w:color="auto" w:frame="1"/>
          <w:shd w:val="clear" w:color="auto" w:fill="FFFFFF"/>
        </w:rPr>
        <w:t xml:space="preserve">aceasta poate avea </w:t>
      </w:r>
      <w:r w:rsidRPr="004D2FCE">
        <w:rPr>
          <w:rFonts w:ascii="Times New Roman" w:eastAsia="Times New Roman" w:hAnsi="Times New Roman" w:cs="Times New Roman"/>
          <w:sz w:val="24"/>
          <w:szCs w:val="24"/>
          <w:bdr w:val="none" w:sz="0" w:space="0" w:color="auto" w:frame="1"/>
          <w:shd w:val="clear" w:color="auto" w:fill="FFFFFF"/>
        </w:rPr>
        <w:t>consecințe nedorite asupra evoluției pacientului, care poate dezvolta efecte colaterale ale administrării de antibiotice și poate avea o evoluție prelungită a bolii.</w:t>
      </w:r>
    </w:p>
    <w:p w14:paraId="4A22F451"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A039C65" w14:textId="77777777" w:rsidR="00022853"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Recomandări particulare legate de cazurile pediatrice</w:t>
      </w:r>
    </w:p>
    <w:p w14:paraId="36987C5F"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1443DED" w14:textId="2E82E59D" w:rsidR="00022853" w:rsidRPr="004D2FCE" w:rsidRDefault="00AF7DCC" w:rsidP="00106FD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1.P</w:t>
      </w:r>
      <w:r w:rsidR="00022853" w:rsidRPr="004D2FCE">
        <w:rPr>
          <w:rFonts w:ascii="Times New Roman" w:eastAsia="Times New Roman" w:hAnsi="Times New Roman" w:cs="Times New Roman"/>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bdr w:val="none" w:sz="0" w:space="0" w:color="auto" w:frame="1"/>
          <w:shd w:val="clear" w:color="auto" w:fill="FFFFFF"/>
        </w:rPr>
        <w:t>Infecția cu SARS-CoV-2 este, în general, mai ușoară la copii decât la adulți și o proporție substanțială a copiilor prezintă infecție asimptomatică.</w:t>
      </w:r>
    </w:p>
    <w:p w14:paraId="05B8A13A" w14:textId="77777777" w:rsidR="00022853" w:rsidRPr="004D2FCE" w:rsidRDefault="000228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D54C90C" w14:textId="5D3795AE" w:rsidR="00AF7DCC" w:rsidRPr="004D2FCE" w:rsidRDefault="00106FD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2</w:t>
      </w:r>
      <w:r w:rsidR="00AF7DCC" w:rsidRPr="004D2FCE">
        <w:rPr>
          <w:rFonts w:ascii="Times New Roman" w:eastAsia="Times New Roman" w:hAnsi="Times New Roman" w:cs="Times New Roman"/>
          <w:b/>
          <w:bCs/>
          <w:sz w:val="24"/>
          <w:szCs w:val="24"/>
          <w:bdr w:val="none" w:sz="0" w:space="0" w:color="auto" w:frame="1"/>
          <w:shd w:val="clear" w:color="auto" w:fill="FFFFFF"/>
        </w:rPr>
        <w:t>.P</w:t>
      </w:r>
      <w:r w:rsidR="00022853" w:rsidRPr="004D2FCE">
        <w:rPr>
          <w:rFonts w:ascii="Times New Roman" w:eastAsia="Times New Roman" w:hAnsi="Times New Roman" w:cs="Times New Roman"/>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bdr w:val="none" w:sz="0" w:space="0" w:color="auto" w:frame="1"/>
          <w:shd w:val="clear" w:color="auto" w:fill="FFFFFF"/>
        </w:rPr>
        <w:t>Forme de severitate ale infecției cu SARS-CoV-2 la copil:</w:t>
      </w:r>
    </w:p>
    <w:p w14:paraId="623B3E1F" w14:textId="61EFF711" w:rsidR="00AF7DCC" w:rsidRPr="004D2FCE" w:rsidRDefault="00106FDE" w:rsidP="004B50B4">
      <w:pPr>
        <w:pStyle w:val="ListParagraph"/>
        <w:numPr>
          <w:ilvl w:val="0"/>
          <w:numId w:val="4"/>
        </w:numPr>
        <w:spacing w:after="0" w:line="240" w:lineRule="auto"/>
        <w:ind w:right="72" w:hanging="25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u w:val="single"/>
          <w:bdr w:val="none" w:sz="0" w:space="0" w:color="auto" w:frame="1"/>
          <w:shd w:val="clear" w:color="auto" w:fill="FFFFFF"/>
        </w:rPr>
        <w:t>F</w:t>
      </w:r>
      <w:r w:rsidR="00022853" w:rsidRPr="004D2FCE">
        <w:rPr>
          <w:rFonts w:ascii="Times New Roman" w:eastAsia="Times New Roman" w:hAnsi="Times New Roman" w:cs="Times New Roman"/>
          <w:sz w:val="24"/>
          <w:szCs w:val="24"/>
          <w:u w:val="single"/>
          <w:bdr w:val="none" w:sz="0" w:space="0" w:color="auto" w:frame="1"/>
          <w:shd w:val="clear" w:color="auto" w:fill="FFFFFF"/>
        </w:rPr>
        <w:t>orma ușoară</w:t>
      </w:r>
      <w:r w:rsidR="00022853" w:rsidRPr="004D2FCE">
        <w:rPr>
          <w:rFonts w:ascii="Times New Roman" w:eastAsia="Times New Roman" w:hAnsi="Times New Roman" w:cs="Times New Roman"/>
          <w:sz w:val="24"/>
          <w:szCs w:val="24"/>
          <w:bdr w:val="none" w:sz="0" w:space="0" w:color="auto" w:frame="1"/>
          <w:shd w:val="clear" w:color="auto" w:fill="FFFFFF"/>
        </w:rPr>
        <w:t>: simptome generale și/sau de tract respirator superior, fără manifestări evocatorii de pneumonie, fără afectare pulmonară;</w:t>
      </w:r>
    </w:p>
    <w:p w14:paraId="2ADCCD9B" w14:textId="10BDE9EB" w:rsidR="00AF7DCC" w:rsidRPr="004D2FCE" w:rsidRDefault="00106FDE" w:rsidP="004B50B4">
      <w:pPr>
        <w:pStyle w:val="ListParagraph"/>
        <w:numPr>
          <w:ilvl w:val="0"/>
          <w:numId w:val="4"/>
        </w:numPr>
        <w:spacing w:after="0" w:line="240" w:lineRule="auto"/>
        <w:ind w:right="72" w:hanging="25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u w:val="single"/>
          <w:bdr w:val="none" w:sz="0" w:space="0" w:color="auto" w:frame="1"/>
          <w:shd w:val="clear" w:color="auto" w:fill="FFFFFF"/>
        </w:rPr>
        <w:t>F</w:t>
      </w:r>
      <w:r w:rsidR="00022853" w:rsidRPr="004D2FCE">
        <w:rPr>
          <w:rFonts w:ascii="Times New Roman" w:eastAsia="Times New Roman" w:hAnsi="Times New Roman" w:cs="Times New Roman"/>
          <w:sz w:val="24"/>
          <w:szCs w:val="24"/>
          <w:u w:val="single"/>
          <w:bdr w:val="none" w:sz="0" w:space="0" w:color="auto" w:frame="1"/>
          <w:shd w:val="clear" w:color="auto" w:fill="FFFFFF"/>
        </w:rPr>
        <w:t>orma medie</w:t>
      </w:r>
      <w:r w:rsidR="00022853" w:rsidRPr="004D2FCE">
        <w:rPr>
          <w:rFonts w:ascii="Times New Roman" w:eastAsia="Times New Roman" w:hAnsi="Times New Roman" w:cs="Times New Roman"/>
          <w:sz w:val="24"/>
          <w:szCs w:val="24"/>
          <w:bdr w:val="none" w:sz="0" w:space="0" w:color="auto" w:frame="1"/>
          <w:shd w:val="clear" w:color="auto" w:fill="FFFFFF"/>
        </w:rPr>
        <w:t>: pacienți cu pneumonie confirmată imagistic, dar fără hipoxemie (dacă nu există afectare respiratorie anterioară bolii actuale);</w:t>
      </w:r>
    </w:p>
    <w:p w14:paraId="6FAADEAC" w14:textId="4A106264" w:rsidR="00AF7DCC" w:rsidRPr="004D2FCE" w:rsidRDefault="00106FDE" w:rsidP="004B50B4">
      <w:pPr>
        <w:pStyle w:val="ListParagraph"/>
        <w:numPr>
          <w:ilvl w:val="0"/>
          <w:numId w:val="4"/>
        </w:numPr>
        <w:spacing w:after="0" w:line="240" w:lineRule="auto"/>
        <w:ind w:right="72" w:hanging="25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u w:val="single"/>
          <w:bdr w:val="none" w:sz="0" w:space="0" w:color="auto" w:frame="1"/>
          <w:shd w:val="clear" w:color="auto" w:fill="FFFFFF"/>
        </w:rPr>
        <w:t>F</w:t>
      </w:r>
      <w:r w:rsidR="00022853" w:rsidRPr="004D2FCE">
        <w:rPr>
          <w:rFonts w:ascii="Times New Roman" w:eastAsia="Times New Roman" w:hAnsi="Times New Roman" w:cs="Times New Roman"/>
          <w:sz w:val="24"/>
          <w:szCs w:val="24"/>
          <w:u w:val="single"/>
          <w:bdr w:val="none" w:sz="0" w:space="0" w:color="auto" w:frame="1"/>
          <w:shd w:val="clear" w:color="auto" w:fill="FFFFFF"/>
        </w:rPr>
        <w:t>orma severă</w:t>
      </w:r>
      <w:r w:rsidR="00E01DF5" w:rsidRPr="004D2FCE">
        <w:rPr>
          <w:rFonts w:ascii="Times New Roman" w:eastAsia="Times New Roman" w:hAnsi="Times New Roman" w:cs="Times New Roman"/>
          <w:sz w:val="24"/>
          <w:szCs w:val="24"/>
          <w:bdr w:val="none" w:sz="0" w:space="0" w:color="auto" w:frame="1"/>
          <w:shd w:val="clear" w:color="auto" w:fill="FFFFFF"/>
        </w:rPr>
        <w:t>: detresă respiratorie cu SaO</w:t>
      </w:r>
      <w:r w:rsidR="00022853" w:rsidRPr="004D2FCE">
        <w:rPr>
          <w:rFonts w:ascii="Times New Roman" w:eastAsia="Times New Roman" w:hAnsi="Times New Roman" w:cs="Times New Roman"/>
          <w:sz w:val="24"/>
          <w:szCs w:val="24"/>
          <w:bdr w:val="none" w:sz="0" w:space="0" w:color="auto" w:frame="1"/>
          <w:shd w:val="clear" w:color="auto" w:fill="FFFFFF"/>
          <w:vertAlign w:val="subscript"/>
        </w:rPr>
        <w:t>2</w:t>
      </w:r>
      <w:r w:rsidR="00022853" w:rsidRPr="004D2FCE">
        <w:rPr>
          <w:rFonts w:ascii="Times New Roman" w:eastAsia="Times New Roman" w:hAnsi="Times New Roman" w:cs="Times New Roman"/>
          <w:sz w:val="24"/>
          <w:szCs w:val="24"/>
          <w:bdr w:val="none" w:sz="0" w:space="0" w:color="auto" w:frame="1"/>
          <w:shd w:val="clear" w:color="auto" w:fill="FFFFFF"/>
        </w:rPr>
        <w:t xml:space="preserve"> sub 94% în aerul atmosferic și anomalii imagistice de afectare pulmonară;</w:t>
      </w:r>
    </w:p>
    <w:p w14:paraId="170DE3AF" w14:textId="73A0CDFD" w:rsidR="00022853" w:rsidRPr="004D2FCE" w:rsidRDefault="00106FDE" w:rsidP="004B50B4">
      <w:pPr>
        <w:pStyle w:val="ListParagraph"/>
        <w:numPr>
          <w:ilvl w:val="0"/>
          <w:numId w:val="4"/>
        </w:numPr>
        <w:spacing w:after="0" w:line="240" w:lineRule="auto"/>
        <w:ind w:right="72" w:hanging="25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u w:val="single"/>
          <w:bdr w:val="none" w:sz="0" w:space="0" w:color="auto" w:frame="1"/>
          <w:shd w:val="clear" w:color="auto" w:fill="FFFFFF"/>
        </w:rPr>
        <w:t>F</w:t>
      </w:r>
      <w:r w:rsidR="00022853" w:rsidRPr="004D2FCE">
        <w:rPr>
          <w:rFonts w:ascii="Times New Roman" w:eastAsia="Times New Roman" w:hAnsi="Times New Roman" w:cs="Times New Roman"/>
          <w:sz w:val="24"/>
          <w:szCs w:val="24"/>
          <w:u w:val="single"/>
          <w:bdr w:val="none" w:sz="0" w:space="0" w:color="auto" w:frame="1"/>
          <w:shd w:val="clear" w:color="auto" w:fill="FFFFFF"/>
        </w:rPr>
        <w:t>orma critică</w:t>
      </w:r>
      <w:r w:rsidR="00022853" w:rsidRPr="004D2FCE">
        <w:rPr>
          <w:rFonts w:ascii="Times New Roman" w:eastAsia="Times New Roman" w:hAnsi="Times New Roman" w:cs="Times New Roman"/>
          <w:sz w:val="24"/>
          <w:szCs w:val="24"/>
          <w:bdr w:val="none" w:sz="0" w:space="0" w:color="auto" w:frame="1"/>
          <w:shd w:val="clear" w:color="auto" w:fill="FFFFFF"/>
        </w:rPr>
        <w:t>: pacienți care prezintă insuficiență respiratorie severă cu necesar de suport ventilator, șoc septic și/sau disfuncție multiplă de organe.</w:t>
      </w:r>
    </w:p>
    <w:p w14:paraId="7989C9AD" w14:textId="77777777" w:rsidR="00022853" w:rsidRPr="004D2FCE" w:rsidRDefault="000228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360AF11D" w14:textId="64E2AA43" w:rsidR="00022853" w:rsidRPr="004D2FCE" w:rsidRDefault="00106FD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3</w:t>
      </w:r>
      <w:r w:rsidR="00AF7DCC" w:rsidRPr="004D2FCE">
        <w:rPr>
          <w:rFonts w:ascii="Times New Roman" w:eastAsia="Times New Roman" w:hAnsi="Times New Roman" w:cs="Times New Roman"/>
          <w:b/>
          <w:bCs/>
          <w:sz w:val="24"/>
          <w:szCs w:val="24"/>
          <w:bdr w:val="none" w:sz="0" w:space="0" w:color="auto" w:frame="1"/>
          <w:shd w:val="clear" w:color="auto" w:fill="FFFFFF"/>
        </w:rPr>
        <w:t>.P</w:t>
      </w:r>
      <w:r w:rsidR="00022853" w:rsidRPr="004D2FCE">
        <w:rPr>
          <w:rFonts w:ascii="Times New Roman" w:eastAsia="Times New Roman" w:hAnsi="Times New Roman" w:cs="Times New Roman"/>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bdr w:val="none" w:sz="0" w:space="0" w:color="auto" w:frame="1"/>
          <w:shd w:val="clear" w:color="auto" w:fill="FFFFFF"/>
        </w:rPr>
        <w:t xml:space="preserve">Conform datelor actuale din literatură, copiii care prezintă în antecedente afecțiuni cronice (patologie neurologică, sindroame genetice - inclusiv trisomia 21, obezitate, </w:t>
      </w:r>
      <w:r w:rsidR="00780A2A" w:rsidRPr="004D2FCE">
        <w:rPr>
          <w:rFonts w:ascii="Times New Roman" w:eastAsia="Times New Roman" w:hAnsi="Times New Roman" w:cs="Times New Roman"/>
          <w:sz w:val="24"/>
          <w:szCs w:val="24"/>
          <w:bdr w:val="none" w:sz="0" w:space="0" w:color="auto" w:frame="1"/>
          <w:shd w:val="clear" w:color="auto" w:fill="FFFFFF"/>
        </w:rPr>
        <w:t xml:space="preserve">diabet zaharat, </w:t>
      </w:r>
      <w:r w:rsidR="00022853" w:rsidRPr="004D2FCE">
        <w:rPr>
          <w:rFonts w:ascii="Times New Roman" w:eastAsia="Times New Roman" w:hAnsi="Times New Roman" w:cs="Times New Roman"/>
          <w:sz w:val="24"/>
          <w:szCs w:val="24"/>
          <w:bdr w:val="none" w:sz="0" w:space="0" w:color="auto" w:frame="1"/>
          <w:shd w:val="clear" w:color="auto" w:fill="FFFFFF"/>
        </w:rPr>
        <w:t>boli cardiopulmonare cronice), imunocompromiși, precum și adolescenții mai mari (vârsta peste 16 ani) pot fi considerați cu risc crescut de boală severă.</w:t>
      </w:r>
    </w:p>
    <w:p w14:paraId="4F675641" w14:textId="77777777" w:rsidR="00022853" w:rsidRPr="004D2FCE" w:rsidRDefault="000228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A64D228" w14:textId="0254C3D0" w:rsidR="00022853" w:rsidRPr="004D2FCE" w:rsidRDefault="00106FD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4</w:t>
      </w:r>
      <w:r w:rsidR="00AF7DCC" w:rsidRPr="004D2FCE">
        <w:rPr>
          <w:rFonts w:ascii="Times New Roman" w:eastAsia="Times New Roman" w:hAnsi="Times New Roman" w:cs="Times New Roman"/>
          <w:b/>
          <w:bCs/>
          <w:sz w:val="24"/>
          <w:szCs w:val="24"/>
          <w:bdr w:val="none" w:sz="0" w:space="0" w:color="auto" w:frame="1"/>
          <w:shd w:val="clear" w:color="auto" w:fill="FFFFFF"/>
        </w:rPr>
        <w:t>.P</w:t>
      </w:r>
      <w:r w:rsidR="00022853" w:rsidRPr="004D2FCE">
        <w:rPr>
          <w:rFonts w:ascii="Times New Roman" w:eastAsia="Times New Roman" w:hAnsi="Times New Roman" w:cs="Times New Roman"/>
          <w:b/>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u w:val="single"/>
          <w:bdr w:val="none" w:sz="0" w:space="0" w:color="auto" w:frame="1"/>
          <w:shd w:val="clear" w:color="auto" w:fill="FFFFFF"/>
        </w:rPr>
        <w:t>Terapie specifică</w:t>
      </w:r>
    </w:p>
    <w:p w14:paraId="6537ECC8" w14:textId="77777777" w:rsidR="00195E53" w:rsidRPr="004D2FCE"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20895C3"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lastRenderedPageBreak/>
        <w:t>a)</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Majoritatea copiilor cu infecție cu SARS-CoV-2 nu vor necesita terapie specifică.</w:t>
      </w:r>
    </w:p>
    <w:p w14:paraId="52ED5FC0" w14:textId="77777777" w:rsidR="00195E53" w:rsidRPr="004D2FCE"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13633A2B"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Antibioticele se administrează doar dacă există o infecție bacteriană concomitentă sau supraadăugată. Este necesară selectarea riguroasă a cazurilor ce vor primi antibioticoterapie deoarece datele actuale documentează impactul acesteia asupra microbiomului intestinal. Tratamentul antibiotic nejustificat poate fi responsabil de selectarea unor tulpini bacteriene multirezistente sau de favorizarea unor infecții cu Clostridioides difficile.</w:t>
      </w:r>
    </w:p>
    <w:p w14:paraId="777F3325" w14:textId="77777777" w:rsidR="00195E53" w:rsidRPr="004D2FCE"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0ACD19C8"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c)</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Utilizarea corticoterapiei se recomandă în special pentru copiii spitalizați cu COVID-19 care necesită oxigenoterapie. Preparatele cortizonice vor fi folosite cu precauție deoarece pot stimula replicarea virală în primele zile de evoluție a maladiei COVID-19.</w:t>
      </w:r>
    </w:p>
    <w:p w14:paraId="65DA0FF2" w14:textId="77777777" w:rsidR="00195E53" w:rsidRPr="004D2FCE"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7195D81B" w14:textId="514C7059" w:rsidR="00106FD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d)</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 xml:space="preserve">Remdesivir este recomandat </w:t>
      </w:r>
      <w:r w:rsidR="00106FDE" w:rsidRPr="004D2FCE">
        <w:rPr>
          <w:rFonts w:ascii="Times New Roman" w:eastAsia="Times New Roman" w:hAnsi="Times New Roman" w:cs="Times New Roman"/>
          <w:sz w:val="24"/>
          <w:szCs w:val="24"/>
          <w:bdr w:val="none" w:sz="0" w:space="0" w:color="auto" w:frame="1"/>
          <w:shd w:val="clear" w:color="auto" w:fill="FFFFFF"/>
        </w:rPr>
        <w:t>la copiii și adolescenții cu</w:t>
      </w:r>
      <w:r w:rsidR="00D63E43" w:rsidRPr="004D2FCE">
        <w:rPr>
          <w:rFonts w:ascii="Times New Roman" w:eastAsia="Times New Roman" w:hAnsi="Times New Roman" w:cs="Times New Roman"/>
          <w:sz w:val="24"/>
          <w:szCs w:val="24"/>
          <w:bdr w:val="none" w:sz="0" w:space="0" w:color="auto" w:frame="1"/>
          <w:shd w:val="clear" w:color="auto" w:fill="FFFFFF"/>
        </w:rPr>
        <w:t xml:space="preserve"> COVID19, conform tabelului nr 1</w:t>
      </w:r>
      <w:r w:rsidR="00106FDE" w:rsidRPr="004D2FCE">
        <w:rPr>
          <w:rFonts w:ascii="Times New Roman" w:eastAsia="Times New Roman" w:hAnsi="Times New Roman" w:cs="Times New Roman"/>
          <w:sz w:val="24"/>
          <w:szCs w:val="24"/>
          <w:bdr w:val="none" w:sz="0" w:space="0" w:color="auto" w:frame="1"/>
          <w:shd w:val="clear" w:color="auto" w:fill="FFFFFF"/>
        </w:rPr>
        <w:t>.</w:t>
      </w:r>
    </w:p>
    <w:p w14:paraId="2D83ADD1" w14:textId="76F008FD" w:rsidR="00195E53" w:rsidRPr="004D2FCE" w:rsidRDefault="00106FDE" w:rsidP="00106FDE">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 </w:t>
      </w:r>
    </w:p>
    <w:p w14:paraId="02AB8705"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e)</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Tratamentul anticoagulant profilactic sau curativ este rezervat formelor severe sau critice.</w:t>
      </w:r>
    </w:p>
    <w:p w14:paraId="67B56F93" w14:textId="77777777" w:rsidR="00195E53" w:rsidRPr="004D2FCE"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63C5AC1" w14:textId="16900FE7" w:rsidR="007532F6" w:rsidRPr="004D2FCE" w:rsidRDefault="00022853" w:rsidP="00106FDE">
      <w:pPr>
        <w:spacing w:after="0" w:line="240" w:lineRule="auto"/>
        <w:ind w:right="72"/>
        <w:jc w:val="both"/>
        <w:rPr>
          <w:rFonts w:ascii="Times New Roman" w:eastAsia="Times New Roman" w:hAnsi="Times New Roman" w:cs="Times New Roman"/>
          <w:strike/>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f)</w:t>
      </w:r>
      <w:r w:rsidRPr="004D2FCE">
        <w:rPr>
          <w:rFonts w:ascii="Times New Roman" w:eastAsia="Times New Roman" w:hAnsi="Times New Roman" w:cs="Times New Roman"/>
          <w:sz w:val="24"/>
          <w:szCs w:val="24"/>
          <w:bdr w:val="dotted" w:sz="6" w:space="0" w:color="FEFEFE" w:frame="1"/>
          <w:shd w:val="clear" w:color="auto" w:fill="FFFFFF"/>
        </w:rPr>
        <w:t> </w:t>
      </w:r>
      <w:r w:rsidR="00106FDE" w:rsidRPr="004D2FCE">
        <w:rPr>
          <w:rFonts w:ascii="Times New Roman" w:eastAsia="Times New Roman" w:hAnsi="Times New Roman" w:cs="Times New Roman"/>
          <w:sz w:val="24"/>
          <w:szCs w:val="24"/>
          <w:bdr w:val="none" w:sz="0" w:space="0" w:color="auto" w:frame="1"/>
          <w:shd w:val="clear" w:color="auto" w:fill="FFFFFF"/>
        </w:rPr>
        <w:t>Anticorpii monoclonali neutralizanți sunt recomandați în formele ușoare și medii de boală,</w:t>
      </w:r>
      <w:r w:rsidR="00780A2A" w:rsidRPr="004D2FCE">
        <w:rPr>
          <w:rFonts w:ascii="Times New Roman" w:eastAsia="Times New Roman" w:hAnsi="Times New Roman" w:cs="Times New Roman"/>
          <w:sz w:val="24"/>
          <w:szCs w:val="24"/>
          <w:bdr w:val="none" w:sz="0" w:space="0" w:color="auto" w:frame="1"/>
          <w:shd w:val="clear" w:color="auto" w:fill="FFFFFF"/>
        </w:rPr>
        <w:t xml:space="preserve"> la copii cu varste &gt; 12 ani</w:t>
      </w:r>
      <w:r w:rsidR="00D9222A" w:rsidRPr="004D2FCE">
        <w:rPr>
          <w:rFonts w:ascii="Times New Roman" w:eastAsia="Times New Roman" w:hAnsi="Times New Roman" w:cs="Times New Roman"/>
          <w:sz w:val="24"/>
          <w:szCs w:val="24"/>
          <w:bdr w:val="none" w:sz="0" w:space="0" w:color="auto" w:frame="1"/>
          <w:shd w:val="clear" w:color="auto" w:fill="FFFFFF"/>
        </w:rPr>
        <w:t xml:space="preserve"> (conform RCP-ului fiecarui produs)</w:t>
      </w:r>
      <w:r w:rsidR="00780A2A" w:rsidRPr="004D2FCE">
        <w:rPr>
          <w:rFonts w:ascii="Times New Roman" w:eastAsia="Times New Roman" w:hAnsi="Times New Roman" w:cs="Times New Roman"/>
          <w:sz w:val="24"/>
          <w:szCs w:val="24"/>
          <w:bdr w:val="none" w:sz="0" w:space="0" w:color="auto" w:frame="1"/>
          <w:shd w:val="clear" w:color="auto" w:fill="FFFFFF"/>
        </w:rPr>
        <w:t>,</w:t>
      </w:r>
      <w:r w:rsidR="00106FDE" w:rsidRPr="004D2FCE">
        <w:rPr>
          <w:rFonts w:ascii="Times New Roman" w:eastAsia="Times New Roman" w:hAnsi="Times New Roman" w:cs="Times New Roman"/>
          <w:sz w:val="24"/>
          <w:szCs w:val="24"/>
          <w:bdr w:val="none" w:sz="0" w:space="0" w:color="auto" w:frame="1"/>
          <w:shd w:val="clear" w:color="auto" w:fill="FFFFFF"/>
        </w:rPr>
        <w:t xml:space="preserve"> cât mai repede după debutul bolii; efectul benefic este mai ridicat în cazul administrării la pacienții cu factori de risc pentru evoluția severă a COVID-19. Administrarea lor se va face în funcție de variantele virale majoritar circulante</w:t>
      </w:r>
      <w:r w:rsidR="00B57FEC" w:rsidRPr="004D2FCE">
        <w:rPr>
          <w:rFonts w:ascii="Times New Roman" w:eastAsia="Times New Roman" w:hAnsi="Times New Roman" w:cs="Times New Roman"/>
          <w:sz w:val="24"/>
          <w:szCs w:val="24"/>
          <w:bdr w:val="none" w:sz="0" w:space="0" w:color="auto" w:frame="1"/>
          <w:shd w:val="clear" w:color="auto" w:fill="FFFFFF"/>
        </w:rPr>
        <w:t>;</w:t>
      </w:r>
      <w:r w:rsidR="00106FDE" w:rsidRPr="004D2FCE">
        <w:rPr>
          <w:rFonts w:ascii="Times New Roman" w:eastAsia="Times New Roman" w:hAnsi="Times New Roman" w:cs="Times New Roman"/>
          <w:sz w:val="24"/>
          <w:szCs w:val="24"/>
          <w:bdr w:val="none" w:sz="0" w:space="0" w:color="auto" w:frame="1"/>
          <w:shd w:val="clear" w:color="auto" w:fill="FFFFFF"/>
        </w:rPr>
        <w:t xml:space="preserve"> </w:t>
      </w:r>
      <w:r w:rsidR="00B57FEC" w:rsidRPr="004D2FCE">
        <w:rPr>
          <w:rFonts w:ascii="Times New Roman" w:eastAsia="Times New Roman" w:hAnsi="Times New Roman" w:cs="Times New Roman"/>
          <w:sz w:val="24"/>
          <w:szCs w:val="24"/>
          <w:bdr w:val="none" w:sz="0" w:space="0" w:color="auto" w:frame="1"/>
          <w:shd w:val="clear" w:color="auto" w:fill="FFFFFF"/>
        </w:rPr>
        <w:t xml:space="preserve">aceasta necesită actualizarea continuă a datelor privind circulația variantelor de SARS CoV-2.  </w:t>
      </w:r>
    </w:p>
    <w:p w14:paraId="23AEE581" w14:textId="62C7CE25" w:rsidR="00022853" w:rsidRPr="004D2FCE" w:rsidRDefault="00106FDE" w:rsidP="00106FDE">
      <w:pPr>
        <w:spacing w:after="0" w:line="240" w:lineRule="auto"/>
        <w:ind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Anticorpii monoclonali disponibili nu sunt eficienți pe variantele virale circulante în mai 2023.</w:t>
      </w:r>
    </w:p>
    <w:p w14:paraId="0EC5D64E" w14:textId="77777777" w:rsidR="00195E53" w:rsidRPr="004D2FCE"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38B68918" w14:textId="29635D48" w:rsidR="00022853" w:rsidRPr="004D2FCE" w:rsidRDefault="00106FD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g</w:t>
      </w:r>
      <w:r w:rsidR="00022853" w:rsidRPr="004D2FCE">
        <w:rPr>
          <w:rFonts w:ascii="Times New Roman" w:eastAsia="Times New Roman" w:hAnsi="Times New Roman" w:cs="Times New Roman"/>
          <w:b/>
          <w:bCs/>
          <w:sz w:val="24"/>
          <w:szCs w:val="24"/>
          <w:bdr w:val="none" w:sz="0" w:space="0" w:color="auto" w:frame="1"/>
          <w:shd w:val="clear" w:color="auto" w:fill="FFFFFF"/>
        </w:rPr>
        <w:t>)</w:t>
      </w:r>
      <w:r w:rsidR="00022853" w:rsidRPr="004D2FCE">
        <w:rPr>
          <w:rFonts w:ascii="Times New Roman" w:eastAsia="Times New Roman" w:hAnsi="Times New Roman" w:cs="Times New Roman"/>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bdr w:val="none" w:sz="0" w:space="0" w:color="auto" w:frame="1"/>
          <w:shd w:val="clear" w:color="auto" w:fill="FFFFFF"/>
        </w:rPr>
        <w:t>Deși datele existente sunt insuficiente, se recomandă administrarea de tocilizumab copiilor cu vârsta peste 2 ani cu aceleași indicații ca pentru adulți. Nu există dovezi suficiente pentru sau împotriva utilizării tocilizumab la copii spitalizați cu sindrom inflamator multisistemic (MIS-C).</w:t>
      </w:r>
    </w:p>
    <w:p w14:paraId="56BB299A" w14:textId="77777777" w:rsidR="00195E53" w:rsidRPr="004D2FCE"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5F453FBC" w14:textId="602FEB9F" w:rsidR="00022853" w:rsidRPr="004D2FCE" w:rsidRDefault="00106FDE" w:rsidP="00022853">
      <w:pPr>
        <w:spacing w:after="0" w:line="240" w:lineRule="auto"/>
        <w:ind w:left="72" w:right="72"/>
        <w:jc w:val="both"/>
        <w:rPr>
          <w:rFonts w:ascii="Times New Roman" w:eastAsia="Times New Roman" w:hAnsi="Times New Roman" w:cs="Times New Roman"/>
          <w:strike/>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h</w:t>
      </w:r>
      <w:r w:rsidR="00022853" w:rsidRPr="004D2FCE">
        <w:rPr>
          <w:rFonts w:ascii="Times New Roman" w:eastAsia="Times New Roman" w:hAnsi="Times New Roman" w:cs="Times New Roman"/>
          <w:b/>
          <w:bCs/>
          <w:sz w:val="24"/>
          <w:szCs w:val="24"/>
          <w:bdr w:val="none" w:sz="0" w:space="0" w:color="auto" w:frame="1"/>
          <w:shd w:val="clear" w:color="auto" w:fill="FFFFFF"/>
        </w:rPr>
        <w:t>)</w:t>
      </w:r>
      <w:r w:rsidR="00022853" w:rsidRPr="004D2FCE">
        <w:rPr>
          <w:rFonts w:ascii="Times New Roman" w:eastAsia="Times New Roman" w:hAnsi="Times New Roman" w:cs="Times New Roman"/>
          <w:sz w:val="24"/>
          <w:szCs w:val="24"/>
          <w:bdr w:val="dotted" w:sz="6" w:space="0" w:color="FEFEFE" w:frame="1"/>
          <w:shd w:val="clear" w:color="auto" w:fill="FFFFFF"/>
        </w:rPr>
        <w:t> </w:t>
      </w:r>
      <w:r w:rsidR="00022853" w:rsidRPr="004D2FCE">
        <w:rPr>
          <w:rFonts w:ascii="Times New Roman" w:eastAsia="Times New Roman" w:hAnsi="Times New Roman" w:cs="Times New Roman"/>
          <w:sz w:val="24"/>
          <w:szCs w:val="24"/>
          <w:bdr w:val="none" w:sz="0" w:space="0" w:color="auto" w:frame="1"/>
          <w:shd w:val="clear" w:color="auto" w:fill="FFFFFF"/>
        </w:rPr>
        <w:t>MIS-C este o complicație gravă a infecției cu SARS-CoV-2 care se poate dezvolta la o minoritate de copii și adulți tineri. Se recomandă consultarea cu o echipă multidisciplinară atunci când se ia în considerare și se administrează terapia imunomodulatoare pentru copiii cu MIS-C. Imunoglobulin</w:t>
      </w:r>
      <w:r w:rsidRPr="004D2FCE">
        <w:rPr>
          <w:rFonts w:ascii="Times New Roman" w:eastAsia="Times New Roman" w:hAnsi="Times New Roman" w:cs="Times New Roman"/>
          <w:sz w:val="24"/>
          <w:szCs w:val="24"/>
          <w:bdr w:val="none" w:sz="0" w:space="0" w:color="auto" w:frame="1"/>
          <w:shd w:val="clear" w:color="auto" w:fill="FFFFFF"/>
        </w:rPr>
        <w:t>ele</w:t>
      </w:r>
      <w:r w:rsidR="00022853" w:rsidRPr="004D2FCE">
        <w:rPr>
          <w:rFonts w:ascii="Times New Roman" w:eastAsia="Times New Roman" w:hAnsi="Times New Roman" w:cs="Times New Roman"/>
          <w:sz w:val="24"/>
          <w:szCs w:val="24"/>
          <w:bdr w:val="none" w:sz="0" w:space="0" w:color="auto" w:frame="1"/>
          <w:shd w:val="clear" w:color="auto" w:fill="FFFFFF"/>
        </w:rPr>
        <w:t xml:space="preserve"> intravenoas</w:t>
      </w:r>
      <w:r w:rsidRPr="004D2FCE">
        <w:rPr>
          <w:rFonts w:ascii="Times New Roman" w:eastAsia="Times New Roman" w:hAnsi="Times New Roman" w:cs="Times New Roman"/>
          <w:sz w:val="24"/>
          <w:szCs w:val="24"/>
          <w:bdr w:val="none" w:sz="0" w:space="0" w:color="auto" w:frame="1"/>
          <w:shd w:val="clear" w:color="auto" w:fill="FFFFFF"/>
        </w:rPr>
        <w:t>e</w:t>
      </w:r>
      <w:r w:rsidR="00022853" w:rsidRPr="004D2FCE">
        <w:rPr>
          <w:rFonts w:ascii="Times New Roman" w:eastAsia="Times New Roman" w:hAnsi="Times New Roman" w:cs="Times New Roman"/>
          <w:sz w:val="24"/>
          <w:szCs w:val="24"/>
          <w:bdr w:val="none" w:sz="0" w:space="0" w:color="auto" w:frame="1"/>
          <w:shd w:val="clear" w:color="auto" w:fill="FFFFFF"/>
        </w:rPr>
        <w:t xml:space="preserve"> și/sau corticosteroizii sunt utilizați în general ca terapie de primă linie, iar antagoniștii interleukinei-1 sau interleukinei 6 au fost utilizați pentru cazuri refractare. </w:t>
      </w:r>
    </w:p>
    <w:p w14:paraId="6BB57B81" w14:textId="77777777" w:rsidR="00427EB0" w:rsidRPr="004D2FCE" w:rsidRDefault="00427EB0" w:rsidP="001F7E60">
      <w:pPr>
        <w:spacing w:after="0" w:line="240" w:lineRule="auto"/>
        <w:ind w:right="72"/>
        <w:jc w:val="both"/>
        <w:rPr>
          <w:rFonts w:ascii="Times New Roman" w:eastAsia="Times New Roman" w:hAnsi="Times New Roman" w:cs="Times New Roman"/>
          <w:b/>
          <w:sz w:val="24"/>
          <w:szCs w:val="24"/>
          <w:bdr w:val="none" w:sz="0" w:space="0" w:color="auto" w:frame="1"/>
          <w:shd w:val="clear" w:color="auto" w:fill="FFFFFF"/>
        </w:rPr>
      </w:pPr>
    </w:p>
    <w:p w14:paraId="1580C09F" w14:textId="77777777" w:rsidR="00022853"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Strategie terapeutică în funcție de forma de boală pentru cazurile pediatrice</w:t>
      </w:r>
    </w:p>
    <w:p w14:paraId="1310B9C7"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E9E8021" w14:textId="36E23C7E" w:rsidR="00427EB0" w:rsidRPr="004D2FCE" w:rsidRDefault="00DA5A0C" w:rsidP="00DA5A0C">
      <w:pPr>
        <w:tabs>
          <w:tab w:val="left" w:pos="360"/>
        </w:tabs>
        <w:spacing w:after="0" w:line="240" w:lineRule="auto"/>
        <w:ind w:right="72" w:firstLine="9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1.</w:t>
      </w:r>
      <w:r w:rsidRPr="004D2FCE">
        <w:rPr>
          <w:rFonts w:ascii="Times New Roman" w:eastAsia="Times New Roman" w:hAnsi="Times New Roman" w:cs="Times New Roman"/>
          <w:sz w:val="24"/>
          <w:szCs w:val="24"/>
          <w:bdr w:val="none" w:sz="0" w:space="0" w:color="auto" w:frame="1"/>
          <w:shd w:val="clear" w:color="auto" w:fill="FFFFFF"/>
        </w:rPr>
        <w:t xml:space="preserve"> </w:t>
      </w:r>
      <w:r w:rsidR="00022853" w:rsidRPr="004D2FCE">
        <w:rPr>
          <w:rFonts w:ascii="Times New Roman" w:eastAsia="Times New Roman" w:hAnsi="Times New Roman" w:cs="Times New Roman"/>
          <w:sz w:val="24"/>
          <w:szCs w:val="24"/>
          <w:u w:val="single"/>
          <w:bdr w:val="none" w:sz="0" w:space="0" w:color="auto" w:frame="1"/>
          <w:shd w:val="clear" w:color="auto" w:fill="FFFFFF"/>
        </w:rPr>
        <w:t>Forma ușoară</w:t>
      </w:r>
      <w:r w:rsidR="00022853" w:rsidRPr="004D2FCE">
        <w:rPr>
          <w:rFonts w:ascii="Times New Roman" w:eastAsia="Times New Roman" w:hAnsi="Times New Roman" w:cs="Times New Roman"/>
          <w:sz w:val="24"/>
          <w:szCs w:val="24"/>
          <w:bdr w:val="none" w:sz="0" w:space="0" w:color="auto" w:frame="1"/>
          <w:shd w:val="clear" w:color="auto" w:fill="FFFFFF"/>
        </w:rPr>
        <w:t>:</w:t>
      </w:r>
    </w:p>
    <w:p w14:paraId="1FADDE6A" w14:textId="7206E40E" w:rsidR="00427EB0" w:rsidRPr="004D2FCE" w:rsidRDefault="00022853" w:rsidP="004B50B4">
      <w:pPr>
        <w:pStyle w:val="ListParagraph"/>
        <w:numPr>
          <w:ilvl w:val="0"/>
          <w:numId w:val="6"/>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simptomatice;</w:t>
      </w:r>
    </w:p>
    <w:p w14:paraId="03B3C8B6" w14:textId="22F5D21A" w:rsidR="00022853" w:rsidRPr="004D2FCE" w:rsidRDefault="00022853" w:rsidP="004B50B4">
      <w:pPr>
        <w:pStyle w:val="ListParagraph"/>
        <w:numPr>
          <w:ilvl w:val="0"/>
          <w:numId w:val="6"/>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antiinflamator nesteroidian.</w:t>
      </w:r>
    </w:p>
    <w:p w14:paraId="2C4FEBCA" w14:textId="77777777" w:rsidR="00427EB0" w:rsidRPr="004D2FCE" w:rsidRDefault="00427EB0"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3FF99237"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2.</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u w:val="single"/>
          <w:bdr w:val="none" w:sz="0" w:space="0" w:color="auto" w:frame="1"/>
          <w:shd w:val="clear" w:color="auto" w:fill="FFFFFF"/>
        </w:rPr>
        <w:t>Forma medie</w:t>
      </w:r>
      <w:r w:rsidRPr="004D2FCE">
        <w:rPr>
          <w:rFonts w:ascii="Times New Roman" w:eastAsia="Times New Roman" w:hAnsi="Times New Roman" w:cs="Times New Roman"/>
          <w:sz w:val="24"/>
          <w:szCs w:val="24"/>
          <w:bdr w:val="none" w:sz="0" w:space="0" w:color="auto" w:frame="1"/>
          <w:shd w:val="clear" w:color="auto" w:fill="FFFFFF"/>
        </w:rPr>
        <w:t xml:space="preserve"> (fără oxigenoterapie):</w:t>
      </w:r>
    </w:p>
    <w:p w14:paraId="7A318729" w14:textId="5CBBE6BC" w:rsidR="00022853" w:rsidRPr="004D2FCE" w:rsidRDefault="00022853" w:rsidP="004B50B4">
      <w:pPr>
        <w:pStyle w:val="ListParagraph"/>
        <w:numPr>
          <w:ilvl w:val="1"/>
          <w:numId w:val="7"/>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simptomatice;</w:t>
      </w:r>
    </w:p>
    <w:p w14:paraId="018CF238" w14:textId="328701BE" w:rsidR="00022853" w:rsidRPr="004D2FCE" w:rsidRDefault="00022853" w:rsidP="004B50B4">
      <w:pPr>
        <w:pStyle w:val="ListParagraph"/>
        <w:numPr>
          <w:ilvl w:val="1"/>
          <w:numId w:val="7"/>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antiinflamator nesteroidian sau corticoterapie (la latitudinea medicului curant);</w:t>
      </w:r>
    </w:p>
    <w:p w14:paraId="64A568B7" w14:textId="283BC1F7" w:rsidR="00022853" w:rsidRPr="004D2FCE" w:rsidRDefault="00022853" w:rsidP="004B50B4">
      <w:pPr>
        <w:pStyle w:val="ListParagraph"/>
        <w:numPr>
          <w:ilvl w:val="1"/>
          <w:numId w:val="7"/>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antibioticoterapie (doar când există dovezi de asociere a unei infecții bacteriene), folosindu-se antibioticele indicate în pneumonia comunitară (în conformitate cu recomandările specifice pentru vârsta pacientului).</w:t>
      </w:r>
    </w:p>
    <w:p w14:paraId="11157BD4" w14:textId="77777777" w:rsidR="00427EB0" w:rsidRPr="004D2FCE" w:rsidRDefault="00427EB0"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085D8805"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3.</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u w:val="single"/>
          <w:bdr w:val="none" w:sz="0" w:space="0" w:color="auto" w:frame="1"/>
          <w:shd w:val="clear" w:color="auto" w:fill="FFFFFF"/>
        </w:rPr>
        <w:t>Forma severă</w:t>
      </w:r>
      <w:r w:rsidRPr="004D2FCE">
        <w:rPr>
          <w:rFonts w:ascii="Times New Roman" w:eastAsia="Times New Roman" w:hAnsi="Times New Roman" w:cs="Times New Roman"/>
          <w:sz w:val="24"/>
          <w:szCs w:val="24"/>
          <w:bdr w:val="none" w:sz="0" w:space="0" w:color="auto" w:frame="1"/>
          <w:shd w:val="clear" w:color="auto" w:fill="FFFFFF"/>
        </w:rPr>
        <w:t xml:space="preserve"> (cu necesar de oxigenoterapie):</w:t>
      </w:r>
    </w:p>
    <w:p w14:paraId="06DE8729" w14:textId="49A3856F" w:rsidR="00022853" w:rsidRPr="004D2FCE"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simptomatice;</w:t>
      </w:r>
    </w:p>
    <w:p w14:paraId="24DF3FC1" w14:textId="33C4E632" w:rsidR="00022853" w:rsidRPr="004D2FCE"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antibioticoterapie </w:t>
      </w:r>
      <w:r w:rsidR="00EF51C0" w:rsidRPr="004D2FCE">
        <w:rPr>
          <w:rFonts w:ascii="Times New Roman" w:eastAsia="Times New Roman" w:hAnsi="Times New Roman" w:cs="Times New Roman"/>
          <w:sz w:val="24"/>
          <w:szCs w:val="24"/>
          <w:bdr w:val="none" w:sz="0" w:space="0" w:color="auto" w:frame="1"/>
          <w:shd w:val="clear" w:color="auto" w:fill="FFFFFF"/>
        </w:rPr>
        <w:t>conform protocoalelor locale.</w:t>
      </w:r>
    </w:p>
    <w:p w14:paraId="6F650CF8" w14:textId="4C4FA72B" w:rsidR="00022853" w:rsidRPr="004D2FCE"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corti</w:t>
      </w:r>
      <w:r w:rsidR="00427EB0" w:rsidRPr="004D2FCE">
        <w:rPr>
          <w:rFonts w:ascii="Times New Roman" w:eastAsia="Times New Roman" w:hAnsi="Times New Roman" w:cs="Times New Roman"/>
          <w:sz w:val="24"/>
          <w:szCs w:val="24"/>
          <w:bdr w:val="none" w:sz="0" w:space="0" w:color="auto" w:frame="1"/>
          <w:shd w:val="clear" w:color="auto" w:fill="FFFFFF"/>
        </w:rPr>
        <w:t>coterapie iv (dexametazonă 0,15</w:t>
      </w:r>
      <w:r w:rsidRPr="004D2FCE">
        <w:rPr>
          <w:rFonts w:ascii="Times New Roman" w:eastAsia="Times New Roman" w:hAnsi="Times New Roman" w:cs="Times New Roman"/>
          <w:sz w:val="24"/>
          <w:szCs w:val="24"/>
          <w:bdr w:val="none" w:sz="0" w:space="0" w:color="auto" w:frame="1"/>
          <w:shd w:val="clear" w:color="auto" w:fill="FFFFFF"/>
        </w:rPr>
        <w:t>mg/kgc/zi - maximum 6 mg/zi, metil-prednisolon - 0,8 mg/kg/zi - maximum 32 mg/zi, hidrocortizon);</w:t>
      </w:r>
    </w:p>
    <w:p w14:paraId="313E527A" w14:textId="77777777" w:rsidR="00427EB0" w:rsidRPr="004D2FCE"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anticoagulant în doză profilactică (enoxaparină) - în funcție de factorii de risc (clinici și biologici) pentru tromboza venoasă;</w:t>
      </w:r>
    </w:p>
    <w:p w14:paraId="71783219" w14:textId="1A6018DD" w:rsidR="00022853" w:rsidRPr="004D2FCE"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antiviral (remdesivir) </w:t>
      </w:r>
      <w:r w:rsidR="00EE6CB8" w:rsidRPr="004D2FCE">
        <w:rPr>
          <w:rFonts w:ascii="Times New Roman" w:eastAsia="Times New Roman" w:hAnsi="Times New Roman" w:cs="Times New Roman"/>
          <w:sz w:val="24"/>
          <w:szCs w:val="24"/>
          <w:bdr w:val="none" w:sz="0" w:space="0" w:color="auto" w:frame="1"/>
          <w:shd w:val="clear" w:color="auto" w:fill="FFFFFF"/>
        </w:rPr>
        <w:t>;</w:t>
      </w:r>
    </w:p>
    <w:p w14:paraId="30A3CBE4" w14:textId="2DC22ACB" w:rsidR="00022853" w:rsidRPr="004D2FCE"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trike/>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imunomodulator</w:t>
      </w:r>
      <w:r w:rsidR="00EE6CB8" w:rsidRPr="004D2FCE">
        <w:rPr>
          <w:rFonts w:ascii="Times New Roman" w:eastAsia="Times New Roman" w:hAnsi="Times New Roman" w:cs="Times New Roman"/>
          <w:sz w:val="24"/>
          <w:szCs w:val="24"/>
          <w:bdr w:val="none" w:sz="0" w:space="0" w:color="auto" w:frame="1"/>
          <w:shd w:val="clear" w:color="auto" w:fill="FFFFFF"/>
        </w:rPr>
        <w:t xml:space="preserve">; </w:t>
      </w:r>
    </w:p>
    <w:p w14:paraId="003C2686" w14:textId="77777777" w:rsidR="00427EB0" w:rsidRPr="004D2FCE" w:rsidRDefault="00427EB0"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6CCF484" w14:textId="77777777" w:rsidR="00427EB0"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lastRenderedPageBreak/>
        <w:t>4.</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u w:val="single"/>
          <w:bdr w:val="none" w:sz="0" w:space="0" w:color="auto" w:frame="1"/>
          <w:shd w:val="clear" w:color="auto" w:fill="FFFFFF"/>
        </w:rPr>
        <w:t>Forma critică</w:t>
      </w:r>
      <w:r w:rsidRPr="004D2FCE">
        <w:rPr>
          <w:rFonts w:ascii="Times New Roman" w:eastAsia="Times New Roman" w:hAnsi="Times New Roman" w:cs="Times New Roman"/>
          <w:sz w:val="24"/>
          <w:szCs w:val="24"/>
          <w:bdr w:val="none" w:sz="0" w:space="0" w:color="auto" w:frame="1"/>
          <w:shd w:val="clear" w:color="auto" w:fill="FFFFFF"/>
        </w:rPr>
        <w:t xml:space="preserve"> (cu necesar de suport ventilator) - internare în secțiile ATI:</w:t>
      </w:r>
    </w:p>
    <w:p w14:paraId="6C529C8E" w14:textId="446A7191" w:rsidR="00427EB0" w:rsidRPr="004D2FCE"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simptomatice;</w:t>
      </w:r>
    </w:p>
    <w:p w14:paraId="763AD74A" w14:textId="18C88964" w:rsidR="00427EB0" w:rsidRPr="004D2FCE"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antibioticoterapie adaptată;</w:t>
      </w:r>
    </w:p>
    <w:p w14:paraId="3225BED1" w14:textId="6A106AA4" w:rsidR="00427EB0" w:rsidRPr="004D2FCE"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corticoterapie iv (dexametazonă, metil-prednisolon);</w:t>
      </w:r>
    </w:p>
    <w:p w14:paraId="02FF51BD" w14:textId="5363B873" w:rsidR="00427EB0" w:rsidRPr="004D2FCE"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anticoagulant în doza curativă (enoxaparină);</w:t>
      </w:r>
    </w:p>
    <w:p w14:paraId="588292FE" w14:textId="6E216423" w:rsidR="00427EB0" w:rsidRPr="004D2FCE"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antiviral (remdesivir) - cu eventuala recomandare a medicului specialist de boli infecțioase;</w:t>
      </w:r>
    </w:p>
    <w:p w14:paraId="4314B889" w14:textId="77777777" w:rsidR="00DA5A0C" w:rsidRPr="004D2FCE"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imunomodulator (tocilizumab) - cu eventuala recomandare a medicului specialist de boli infecțioase;</w:t>
      </w:r>
    </w:p>
    <w:p w14:paraId="5D3BF279" w14:textId="3B43B466" w:rsidR="00427EB0" w:rsidRPr="004D2FCE"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tratamentul șocului și al disfuncțiilor de organ.</w:t>
      </w:r>
    </w:p>
    <w:p w14:paraId="52CC1E2B" w14:textId="77777777" w:rsidR="00DA5A0C" w:rsidRPr="004D2FCE" w:rsidRDefault="00DA5A0C"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6934C114" w14:textId="06D629BB" w:rsidR="00DA5A0C" w:rsidRPr="004D2FCE" w:rsidRDefault="00434BEE" w:rsidP="00DA5A0C">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 xml:space="preserve">CATEGORII DE MEDICAMENTE UTILIZABILE ÎN TRATAMENTUL PACIENȚILOR CU </w:t>
      </w:r>
      <w:r w:rsidR="00022853" w:rsidRPr="004D2FCE">
        <w:rPr>
          <w:rFonts w:ascii="Times New Roman" w:eastAsia="Times New Roman" w:hAnsi="Times New Roman" w:cs="Times New Roman"/>
          <w:b/>
          <w:sz w:val="24"/>
          <w:szCs w:val="24"/>
          <w:bdr w:val="none" w:sz="0" w:space="0" w:color="auto" w:frame="1"/>
          <w:shd w:val="clear" w:color="auto" w:fill="FFFFFF"/>
        </w:rPr>
        <w:t>COVID-19</w:t>
      </w:r>
    </w:p>
    <w:p w14:paraId="66447B2C" w14:textId="27E00A0A" w:rsidR="00DA5A0C" w:rsidRPr="004D2FCE"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Prezentul protocol terapeutic include principii grupate în următoarele capitole:</w:t>
      </w:r>
    </w:p>
    <w:p w14:paraId="77CEDFB2" w14:textId="77777777" w:rsidR="00DA5A0C" w:rsidRPr="004D2FCE" w:rsidRDefault="00DA5A0C" w:rsidP="00DA5A0C">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10214C53" w14:textId="3470C984" w:rsidR="00DA5A0C" w:rsidRPr="004D2FCE"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B.1.</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Medicație cu acțiune antivirală</w:t>
      </w:r>
      <w:r w:rsidR="0097754E" w:rsidRPr="004D2FCE">
        <w:rPr>
          <w:rFonts w:ascii="Times New Roman" w:eastAsia="Times New Roman" w:hAnsi="Times New Roman" w:cs="Times New Roman"/>
          <w:sz w:val="24"/>
          <w:szCs w:val="24"/>
          <w:bdr w:val="none" w:sz="0" w:space="0" w:color="auto" w:frame="1"/>
          <w:shd w:val="clear" w:color="auto" w:fill="FFFFFF"/>
        </w:rPr>
        <w:t>.</w:t>
      </w:r>
    </w:p>
    <w:p w14:paraId="2466065B" w14:textId="65EF8A51" w:rsidR="00DA5A0C" w:rsidRPr="004D2FCE"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B.2.</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Medicație antiinflamatorie și imunomodulatoare</w:t>
      </w:r>
      <w:r w:rsidR="0097754E" w:rsidRPr="004D2FCE">
        <w:rPr>
          <w:rFonts w:ascii="Times New Roman" w:eastAsia="Times New Roman" w:hAnsi="Times New Roman" w:cs="Times New Roman"/>
          <w:sz w:val="24"/>
          <w:szCs w:val="24"/>
          <w:bdr w:val="none" w:sz="0" w:space="0" w:color="auto" w:frame="1"/>
          <w:shd w:val="clear" w:color="auto" w:fill="FFFFFF"/>
        </w:rPr>
        <w:t>.</w:t>
      </w:r>
    </w:p>
    <w:p w14:paraId="797553FB" w14:textId="319A3C90" w:rsidR="00DA5A0C" w:rsidRPr="004D2FCE"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B.3.</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Managementul coagulopatiei</w:t>
      </w:r>
      <w:r w:rsidR="0097754E" w:rsidRPr="004D2FCE">
        <w:rPr>
          <w:rFonts w:ascii="Times New Roman" w:eastAsia="Times New Roman" w:hAnsi="Times New Roman" w:cs="Times New Roman"/>
          <w:sz w:val="24"/>
          <w:szCs w:val="24"/>
          <w:bdr w:val="none" w:sz="0" w:space="0" w:color="auto" w:frame="1"/>
          <w:shd w:val="clear" w:color="auto" w:fill="FFFFFF"/>
        </w:rPr>
        <w:t>.</w:t>
      </w:r>
    </w:p>
    <w:p w14:paraId="0180FCF4" w14:textId="051232D0" w:rsidR="00DA5A0C" w:rsidRPr="004D2FCE"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B.4.</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Antibiotice și alte medicații antiinfecțioase (cu excepția celor specifice COVID-19)</w:t>
      </w:r>
      <w:r w:rsidR="0097754E" w:rsidRPr="004D2FCE">
        <w:rPr>
          <w:rFonts w:ascii="Times New Roman" w:eastAsia="Times New Roman" w:hAnsi="Times New Roman" w:cs="Times New Roman"/>
          <w:sz w:val="24"/>
          <w:szCs w:val="24"/>
          <w:bdr w:val="none" w:sz="0" w:space="0" w:color="auto" w:frame="1"/>
          <w:shd w:val="clear" w:color="auto" w:fill="FFFFFF"/>
        </w:rPr>
        <w:t>.</w:t>
      </w:r>
    </w:p>
    <w:p w14:paraId="26ED1EED" w14:textId="7409BBA6" w:rsidR="00DA5A0C" w:rsidRPr="004D2FCE"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B.5.</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Suportul funcțiilor vitale</w:t>
      </w:r>
      <w:r w:rsidR="0097754E" w:rsidRPr="004D2FCE">
        <w:rPr>
          <w:rFonts w:ascii="Times New Roman" w:eastAsia="Times New Roman" w:hAnsi="Times New Roman" w:cs="Times New Roman"/>
          <w:sz w:val="24"/>
          <w:szCs w:val="24"/>
          <w:bdr w:val="none" w:sz="0" w:space="0" w:color="auto" w:frame="1"/>
          <w:shd w:val="clear" w:color="auto" w:fill="FFFFFF"/>
        </w:rPr>
        <w:t>.</w:t>
      </w:r>
    </w:p>
    <w:p w14:paraId="76F69240" w14:textId="5C84F722" w:rsidR="00DA5A0C" w:rsidRPr="004D2FCE"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B.6.</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Simptomatice și alte măsuri terapeutice</w:t>
      </w:r>
      <w:r w:rsidR="0097754E" w:rsidRPr="004D2FCE">
        <w:rPr>
          <w:rFonts w:ascii="Times New Roman" w:eastAsia="Times New Roman" w:hAnsi="Times New Roman" w:cs="Times New Roman"/>
          <w:sz w:val="24"/>
          <w:szCs w:val="24"/>
          <w:bdr w:val="none" w:sz="0" w:space="0" w:color="auto" w:frame="1"/>
          <w:shd w:val="clear" w:color="auto" w:fill="FFFFFF"/>
        </w:rPr>
        <w:t>.</w:t>
      </w:r>
    </w:p>
    <w:p w14:paraId="455A5636" w14:textId="262BD6EB" w:rsidR="00B14BBE" w:rsidRPr="004D2FCE" w:rsidRDefault="00D67196" w:rsidP="00D67196">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 xml:space="preserve"> </w:t>
      </w:r>
      <w:r w:rsidR="00B14BBE" w:rsidRPr="004D2FCE">
        <w:rPr>
          <w:rFonts w:ascii="Times New Roman" w:eastAsia="Times New Roman" w:hAnsi="Times New Roman" w:cs="Times New Roman"/>
          <w:b/>
          <w:sz w:val="24"/>
          <w:szCs w:val="24"/>
          <w:bdr w:val="none" w:sz="0" w:space="0" w:color="auto" w:frame="1"/>
          <w:shd w:val="clear" w:color="auto" w:fill="FFFFFF"/>
        </w:rPr>
        <w:t>B.7</w:t>
      </w:r>
      <w:r w:rsidR="00B14BBE" w:rsidRPr="004D2FCE">
        <w:rPr>
          <w:rFonts w:ascii="Times New Roman" w:eastAsia="Times New Roman" w:hAnsi="Times New Roman" w:cs="Times New Roman"/>
          <w:sz w:val="24"/>
          <w:szCs w:val="24"/>
          <w:bdr w:val="none" w:sz="0" w:space="0" w:color="auto" w:frame="1"/>
          <w:shd w:val="clear" w:color="auto" w:fill="FFFFFF"/>
        </w:rPr>
        <w:t>.</w:t>
      </w:r>
      <w:r w:rsidRPr="004D2FCE">
        <w:rPr>
          <w:rFonts w:ascii="Times New Roman" w:eastAsia="Times New Roman" w:hAnsi="Times New Roman" w:cs="Times New Roman"/>
          <w:sz w:val="24"/>
          <w:szCs w:val="24"/>
          <w:bdr w:val="none" w:sz="0" w:space="0" w:color="auto" w:frame="1"/>
          <w:shd w:val="clear" w:color="auto" w:fill="FFFFFF"/>
        </w:rPr>
        <w:t xml:space="preserve"> </w:t>
      </w:r>
      <w:r w:rsidR="00461F3C" w:rsidRPr="004D2FCE">
        <w:rPr>
          <w:rFonts w:ascii="Times New Roman" w:eastAsia="Times New Roman" w:hAnsi="Times New Roman" w:cs="Times New Roman"/>
          <w:sz w:val="24"/>
          <w:szCs w:val="24"/>
          <w:bdr w:val="none" w:sz="0" w:space="0" w:color="auto" w:frame="1"/>
          <w:shd w:val="clear" w:color="auto" w:fill="FFFFFF"/>
        </w:rPr>
        <w:t>Opțiuni</w:t>
      </w:r>
      <w:r w:rsidRPr="004D2FCE">
        <w:rPr>
          <w:rFonts w:ascii="Times New Roman" w:eastAsia="Times New Roman" w:hAnsi="Times New Roman" w:cs="Times New Roman"/>
          <w:sz w:val="24"/>
          <w:szCs w:val="24"/>
          <w:bdr w:val="none" w:sz="0" w:space="0" w:color="auto" w:frame="1"/>
          <w:shd w:val="clear" w:color="auto" w:fill="FFFFFF"/>
        </w:rPr>
        <w:t xml:space="preserve"> terapeutice care și-au pierdut eficiența odată cu apariția variantei și subvariantelor Omicron sau care au fost înlocuite cu </w:t>
      </w:r>
      <w:r w:rsidR="00461F3C" w:rsidRPr="004D2FCE">
        <w:rPr>
          <w:rFonts w:ascii="Times New Roman" w:eastAsia="Times New Roman" w:hAnsi="Times New Roman" w:cs="Times New Roman"/>
          <w:sz w:val="24"/>
          <w:szCs w:val="24"/>
          <w:bdr w:val="none" w:sz="0" w:space="0" w:color="auto" w:frame="1"/>
          <w:shd w:val="clear" w:color="auto" w:fill="FFFFFF"/>
        </w:rPr>
        <w:t>opțiuni terapeutice</w:t>
      </w:r>
      <w:r w:rsidRPr="004D2FCE">
        <w:rPr>
          <w:rFonts w:ascii="Times New Roman" w:eastAsia="Times New Roman" w:hAnsi="Times New Roman" w:cs="Times New Roman"/>
          <w:sz w:val="24"/>
          <w:szCs w:val="24"/>
          <w:bdr w:val="none" w:sz="0" w:space="0" w:color="auto" w:frame="1"/>
          <w:shd w:val="clear" w:color="auto" w:fill="FFFFFF"/>
        </w:rPr>
        <w:t xml:space="preserve"> noi</w:t>
      </w:r>
      <w:r w:rsidR="00461F3C" w:rsidRPr="004D2FCE">
        <w:rPr>
          <w:rFonts w:ascii="Times New Roman" w:eastAsia="Times New Roman" w:hAnsi="Times New Roman" w:cs="Times New Roman"/>
          <w:sz w:val="24"/>
          <w:szCs w:val="24"/>
          <w:bdr w:val="none" w:sz="0" w:space="0" w:color="auto" w:frame="1"/>
          <w:shd w:val="clear" w:color="auto" w:fill="FFFFFF"/>
        </w:rPr>
        <w:t>,</w:t>
      </w:r>
      <w:r w:rsidRPr="004D2FCE">
        <w:rPr>
          <w:rFonts w:ascii="Times New Roman" w:eastAsia="Times New Roman" w:hAnsi="Times New Roman" w:cs="Times New Roman"/>
          <w:sz w:val="24"/>
          <w:szCs w:val="24"/>
          <w:bdr w:val="none" w:sz="0" w:space="0" w:color="auto" w:frame="1"/>
          <w:shd w:val="clear" w:color="auto" w:fill="FFFFFF"/>
        </w:rPr>
        <w:t xml:space="preserve"> cu eficiență superioară</w:t>
      </w:r>
      <w:r w:rsidR="0097754E" w:rsidRPr="004D2FCE">
        <w:rPr>
          <w:rFonts w:ascii="Times New Roman" w:eastAsia="Times New Roman" w:hAnsi="Times New Roman" w:cs="Times New Roman"/>
          <w:sz w:val="24"/>
          <w:szCs w:val="24"/>
          <w:bdr w:val="none" w:sz="0" w:space="0" w:color="auto" w:frame="1"/>
          <w:shd w:val="clear" w:color="auto" w:fill="FFFFFF"/>
        </w:rPr>
        <w:t>.</w:t>
      </w:r>
    </w:p>
    <w:p w14:paraId="6C55AB44" w14:textId="64A301B2" w:rsidR="00DA5A0C"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w:t>
      </w:r>
      <w:r w:rsidR="00D67196" w:rsidRPr="004D2FCE">
        <w:rPr>
          <w:rFonts w:ascii="Times New Roman" w:eastAsia="Times New Roman" w:hAnsi="Times New Roman" w:cs="Times New Roman"/>
          <w:b/>
          <w:bCs/>
          <w:sz w:val="24"/>
          <w:szCs w:val="24"/>
          <w:bdr w:val="none" w:sz="0" w:space="0" w:color="auto" w:frame="1"/>
          <w:shd w:val="clear" w:color="auto" w:fill="FFFFFF"/>
        </w:rPr>
        <w:t>8</w:t>
      </w:r>
      <w:r w:rsidRPr="004D2FCE">
        <w:rPr>
          <w:rFonts w:ascii="Times New Roman" w:eastAsia="Times New Roman" w:hAnsi="Times New Roman" w:cs="Times New Roman"/>
          <w:b/>
          <w:bCs/>
          <w:sz w:val="24"/>
          <w:szCs w:val="24"/>
          <w:bdr w:val="none" w:sz="0" w:space="0" w:color="auto" w:frame="1"/>
          <w:shd w:val="clear" w:color="auto" w:fill="FFFFFF"/>
        </w:rPr>
        <w:t>.</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Intervenții terapeutice controversate</w:t>
      </w:r>
      <w:r w:rsidR="0097754E" w:rsidRPr="004D2FCE">
        <w:rPr>
          <w:rFonts w:ascii="Times New Roman" w:eastAsia="Times New Roman" w:hAnsi="Times New Roman" w:cs="Times New Roman"/>
          <w:sz w:val="24"/>
          <w:szCs w:val="24"/>
          <w:bdr w:val="none" w:sz="0" w:space="0" w:color="auto" w:frame="1"/>
          <w:shd w:val="clear" w:color="auto" w:fill="FFFFFF"/>
        </w:rPr>
        <w:t>.</w:t>
      </w:r>
    </w:p>
    <w:p w14:paraId="44DCE472" w14:textId="77777777" w:rsidR="00DA5A0C" w:rsidRPr="004D2FCE" w:rsidRDefault="00DA5A0C"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1B0B602B" w14:textId="77777777" w:rsidR="00DA5A0C"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B.1.</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Medicație cu acțiune antivirală</w:t>
      </w:r>
      <w:r w:rsidRPr="004D2FCE">
        <w:rPr>
          <w:rFonts w:ascii="Times New Roman" w:eastAsia="Times New Roman" w:hAnsi="Times New Roman" w:cs="Times New Roman"/>
          <w:sz w:val="24"/>
          <w:szCs w:val="24"/>
          <w:bdr w:val="none" w:sz="0" w:space="0" w:color="auto" w:frame="1"/>
          <w:shd w:val="clear" w:color="auto" w:fill="FFFFFF"/>
        </w:rPr>
        <w:t xml:space="preserve"> (tabelul 1)</w:t>
      </w:r>
    </w:p>
    <w:p w14:paraId="12DF0183" w14:textId="77777777" w:rsidR="00E955AA"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Evoluția infecției cu SARS-CoV-2 are o fază inițială dominată de replicarea virală, cu o durată variabilă, în medie 6-7 zile, pentru care administrarea de antivirale eficiente este justificată; în acest interval de timp pacientul trece printr-o perioadă presimptomatică și poate deveni simptomatic. Ulterior, unii pacienți intră într-o fază dominată de inflamație sistemică, care în cazuri rare poate lua aspectul unei hiperinflamații, în care utilitatea medicației cu efect antiviral este mult mai redusă/nulă.</w:t>
      </w:r>
    </w:p>
    <w:p w14:paraId="765526F0" w14:textId="77777777" w:rsidR="00E955AA" w:rsidRPr="004D2FCE"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BC3CE75" w14:textId="45FF1293" w:rsidR="00E955AA"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De aceea, medicația antivirală ar trebui administrată cât mai precoce (</w:t>
      </w:r>
      <w:r w:rsidR="003C301E" w:rsidRPr="004D2FCE">
        <w:rPr>
          <w:rFonts w:ascii="Times New Roman" w:eastAsia="Times New Roman" w:hAnsi="Times New Roman" w:cs="Times New Roman"/>
          <w:sz w:val="24"/>
          <w:szCs w:val="24"/>
          <w:bdr w:val="none" w:sz="0" w:space="0" w:color="auto" w:frame="1"/>
          <w:shd w:val="clear" w:color="auto" w:fill="FFFFFF"/>
        </w:rPr>
        <w:t>în primele 5 zile de la debutul simptomatologiei),</w:t>
      </w:r>
      <w:r w:rsidRPr="004D2FCE">
        <w:rPr>
          <w:rFonts w:ascii="Times New Roman" w:eastAsia="Times New Roman" w:hAnsi="Times New Roman" w:cs="Times New Roman"/>
          <w:sz w:val="24"/>
          <w:szCs w:val="24"/>
          <w:bdr w:val="none" w:sz="0" w:space="0" w:color="auto" w:frame="1"/>
          <w:shd w:val="clear" w:color="auto" w:fill="FFFFFF"/>
        </w:rPr>
        <w:t xml:space="preserve"> în special pacienților cu factori de risc pentru evoluție </w:t>
      </w:r>
      <w:r w:rsidR="003C301E" w:rsidRPr="004D2FCE">
        <w:rPr>
          <w:rFonts w:ascii="Times New Roman" w:eastAsia="Times New Roman" w:hAnsi="Times New Roman" w:cs="Times New Roman"/>
          <w:sz w:val="24"/>
          <w:szCs w:val="24"/>
          <w:bdr w:val="none" w:sz="0" w:space="0" w:color="auto" w:frame="1"/>
          <w:shd w:val="clear" w:color="auto" w:fill="FFFFFF"/>
        </w:rPr>
        <w:t>severă</w:t>
      </w:r>
      <w:r w:rsidRPr="004D2FCE">
        <w:rPr>
          <w:rFonts w:ascii="Times New Roman" w:eastAsia="Times New Roman" w:hAnsi="Times New Roman" w:cs="Times New Roman"/>
          <w:sz w:val="24"/>
          <w:szCs w:val="24"/>
          <w:bdr w:val="none" w:sz="0" w:space="0" w:color="auto" w:frame="1"/>
          <w:shd w:val="clear" w:color="auto" w:fill="FFFFFF"/>
        </w:rPr>
        <w:t>, urmărindu-se limitarea riscului de agravare a bolii și reducerea duratei de evoluție a bolii, ceea ce ar putea diminua numărul celor care necesită internare.</w:t>
      </w:r>
    </w:p>
    <w:p w14:paraId="24296929" w14:textId="77777777" w:rsidR="00E955AA" w:rsidRPr="004D2FCE"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C1561B2" w14:textId="77777777" w:rsidR="00E955AA"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Medicamentele cu acțiune antivirală potențial active împotriva SARS-CoV-2</w:t>
      </w:r>
      <w:r w:rsidRPr="004D2FCE">
        <w:rPr>
          <w:rFonts w:ascii="Times New Roman" w:eastAsia="Times New Roman" w:hAnsi="Times New Roman" w:cs="Times New Roman"/>
          <w:sz w:val="24"/>
          <w:szCs w:val="24"/>
          <w:bdr w:val="none" w:sz="0" w:space="0" w:color="auto" w:frame="1"/>
          <w:shd w:val="clear" w:color="auto" w:fill="FFFFFF"/>
        </w:rPr>
        <w:t xml:space="preserve"> sunt:</w:t>
      </w:r>
    </w:p>
    <w:p w14:paraId="7262E5ED" w14:textId="77777777" w:rsidR="00E955AA" w:rsidRPr="004D2FCE"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BC4B95D" w14:textId="206F4F07" w:rsidR="00E955AA"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B.1.a.</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Remdesivir</w:t>
      </w:r>
      <w:r w:rsidR="00461F3C" w:rsidRPr="004D2FCE">
        <w:rPr>
          <w:rFonts w:ascii="Times New Roman" w:eastAsia="Times New Roman" w:hAnsi="Times New Roman" w:cs="Times New Roman"/>
          <w:b/>
          <w:sz w:val="24"/>
          <w:szCs w:val="24"/>
          <w:bdr w:val="none" w:sz="0" w:space="0" w:color="auto" w:frame="1"/>
          <w:shd w:val="clear" w:color="auto" w:fill="FFFFFF"/>
        </w:rPr>
        <w:t xml:space="preserve"> </w:t>
      </w:r>
    </w:p>
    <w:p w14:paraId="43159FE1" w14:textId="77777777" w:rsidR="00E955AA" w:rsidRPr="004D2FCE"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FA3424C" w14:textId="1919FB5D" w:rsidR="00E955AA" w:rsidRPr="004D2FCE" w:rsidRDefault="00773632"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 xml:space="preserve">D.C.I: </w:t>
      </w:r>
      <w:r w:rsidR="00022853" w:rsidRPr="004D2FCE">
        <w:rPr>
          <w:rFonts w:ascii="Times New Roman" w:eastAsia="Times New Roman" w:hAnsi="Times New Roman" w:cs="Times New Roman"/>
          <w:b/>
          <w:sz w:val="24"/>
          <w:szCs w:val="24"/>
          <w:bdr w:val="none" w:sz="0" w:space="0" w:color="auto" w:frame="1"/>
          <w:shd w:val="clear" w:color="auto" w:fill="FFFFFF"/>
        </w:rPr>
        <w:t xml:space="preserve">Remdesivir </w:t>
      </w:r>
      <w:r w:rsidR="00461F3C" w:rsidRPr="004D2FCE">
        <w:rPr>
          <w:rFonts w:ascii="Times New Roman" w:eastAsia="Times New Roman" w:hAnsi="Times New Roman" w:cs="Times New Roman"/>
          <w:bCs/>
          <w:i/>
          <w:iCs/>
          <w:sz w:val="24"/>
          <w:szCs w:val="24"/>
          <w:bdr w:val="none" w:sz="0" w:space="0" w:color="auto" w:frame="1"/>
          <w:shd w:val="clear" w:color="auto" w:fill="FFFFFF"/>
        </w:rPr>
        <w:t>(Veklury)</w:t>
      </w:r>
      <w:r w:rsidR="00461F3C" w:rsidRPr="004D2FCE">
        <w:rPr>
          <w:rFonts w:ascii="Times New Roman" w:eastAsia="Times New Roman" w:hAnsi="Times New Roman" w:cs="Times New Roman"/>
          <w:b/>
          <w:i/>
          <w:iCs/>
          <w:sz w:val="24"/>
          <w:szCs w:val="24"/>
          <w:bdr w:val="none" w:sz="0" w:space="0" w:color="auto" w:frame="1"/>
          <w:shd w:val="clear" w:color="auto" w:fill="FFFFFF"/>
        </w:rPr>
        <w:t xml:space="preserve"> </w:t>
      </w:r>
      <w:r w:rsidR="00022853" w:rsidRPr="004D2FCE">
        <w:rPr>
          <w:rFonts w:ascii="Times New Roman" w:eastAsia="Times New Roman" w:hAnsi="Times New Roman" w:cs="Times New Roman"/>
          <w:sz w:val="24"/>
          <w:szCs w:val="24"/>
          <w:bdr w:val="none" w:sz="0" w:space="0" w:color="auto" w:frame="1"/>
          <w:shd w:val="clear" w:color="auto" w:fill="FFFFFF"/>
        </w:rPr>
        <w:t xml:space="preserve">este un antiviral </w:t>
      </w:r>
      <w:r w:rsidR="00BE4888" w:rsidRPr="004D2FCE">
        <w:rPr>
          <w:rFonts w:ascii="Times New Roman" w:eastAsia="Times New Roman" w:hAnsi="Times New Roman" w:cs="Times New Roman"/>
          <w:sz w:val="24"/>
          <w:szCs w:val="24"/>
          <w:bdr w:val="none" w:sz="0" w:space="0" w:color="auto" w:frame="1"/>
          <w:shd w:val="clear" w:color="auto" w:fill="FFFFFF"/>
        </w:rPr>
        <w:t xml:space="preserve">de administrare intravenoasă </w:t>
      </w:r>
      <w:r w:rsidR="00022853" w:rsidRPr="004D2FCE">
        <w:rPr>
          <w:rFonts w:ascii="Times New Roman" w:eastAsia="Times New Roman" w:hAnsi="Times New Roman" w:cs="Times New Roman"/>
          <w:sz w:val="24"/>
          <w:szCs w:val="24"/>
          <w:bdr w:val="none" w:sz="0" w:space="0" w:color="auto" w:frame="1"/>
          <w:shd w:val="clear" w:color="auto" w:fill="FFFFFF"/>
        </w:rPr>
        <w:t>potențial util pentru tratamentul COVID-19, care inhibă ARN polimeraza ARN dependentă, blocând prematur transcripția ARN. Are activitate in vitro împotriva coronavirusurilor, inclusiv împotriva SARS-CoV-2.</w:t>
      </w:r>
    </w:p>
    <w:p w14:paraId="35D24BC2" w14:textId="77777777" w:rsidR="00E955AA" w:rsidRPr="004D2FCE" w:rsidRDefault="00E955AA" w:rsidP="00022853">
      <w:pPr>
        <w:spacing w:after="0" w:line="240" w:lineRule="auto"/>
        <w:ind w:left="72" w:right="72"/>
        <w:jc w:val="both"/>
        <w:rPr>
          <w:rFonts w:ascii="Times New Roman" w:eastAsia="Times New Roman" w:hAnsi="Times New Roman" w:cs="Times New Roman"/>
          <w:sz w:val="24"/>
          <w:szCs w:val="24"/>
          <w:u w:val="single"/>
          <w:bdr w:val="none" w:sz="0" w:space="0" w:color="auto" w:frame="1"/>
          <w:shd w:val="clear" w:color="auto" w:fill="FFFFFF"/>
        </w:rPr>
      </w:pPr>
    </w:p>
    <w:p w14:paraId="5FB11104" w14:textId="678521D8" w:rsidR="00E955AA"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u w:val="single"/>
          <w:bdr w:val="none" w:sz="0" w:space="0" w:color="auto" w:frame="1"/>
          <w:shd w:val="clear" w:color="auto" w:fill="FFFFFF"/>
        </w:rPr>
        <w:t>Eficiența remdesivirului este cu atât mai ridicată cu cât se administrează mai precoce după debutul simptomatologiei și la pacienți cu risc de evoluție nefavorabilă; este mai eficient la pacienți cu necesar redus de oxigen suplimentar,</w:t>
      </w:r>
      <w:r w:rsidRPr="004D2FCE">
        <w:rPr>
          <w:rFonts w:ascii="Times New Roman" w:eastAsia="Times New Roman" w:hAnsi="Times New Roman" w:cs="Times New Roman"/>
          <w:sz w:val="24"/>
          <w:szCs w:val="24"/>
          <w:bdr w:val="none" w:sz="0" w:space="0" w:color="auto" w:frame="1"/>
          <w:shd w:val="clear" w:color="auto" w:fill="FFFFFF"/>
        </w:rPr>
        <w:t xml:space="preserve"> față de cei care necesită un flux mare de oxigen, ventilație invazivă sau noninvazivă, ECMO</w:t>
      </w:r>
      <w:r w:rsidR="003C301E" w:rsidRPr="004D2FCE">
        <w:rPr>
          <w:rFonts w:ascii="Times New Roman" w:eastAsia="Times New Roman" w:hAnsi="Times New Roman" w:cs="Times New Roman"/>
          <w:sz w:val="24"/>
          <w:szCs w:val="24"/>
          <w:bdr w:val="none" w:sz="0" w:space="0" w:color="auto" w:frame="1"/>
          <w:shd w:val="clear" w:color="auto" w:fill="FFFFFF"/>
        </w:rPr>
        <w:t>, precum</w:t>
      </w:r>
      <w:r w:rsidRPr="004D2FCE">
        <w:rPr>
          <w:rFonts w:ascii="Times New Roman" w:eastAsia="Times New Roman" w:hAnsi="Times New Roman" w:cs="Times New Roman"/>
          <w:sz w:val="24"/>
          <w:szCs w:val="24"/>
          <w:bdr w:val="none" w:sz="0" w:space="0" w:color="auto" w:frame="1"/>
          <w:shd w:val="clear" w:color="auto" w:fill="FFFFFF"/>
        </w:rPr>
        <w:t xml:space="preserve"> </w:t>
      </w:r>
      <w:r w:rsidR="003C301E" w:rsidRPr="004D2FCE">
        <w:rPr>
          <w:rFonts w:ascii="Times New Roman" w:eastAsia="Times New Roman" w:hAnsi="Times New Roman" w:cs="Times New Roman"/>
          <w:sz w:val="24"/>
          <w:szCs w:val="24"/>
          <w:bdr w:val="none" w:sz="0" w:space="0" w:color="auto" w:frame="1"/>
          <w:shd w:val="clear" w:color="auto" w:fill="FFFFFF"/>
        </w:rPr>
        <w:t xml:space="preserve">și </w:t>
      </w:r>
      <w:r w:rsidRPr="004D2FCE">
        <w:rPr>
          <w:rFonts w:ascii="Times New Roman" w:eastAsia="Times New Roman" w:hAnsi="Times New Roman" w:cs="Times New Roman"/>
          <w:sz w:val="24"/>
          <w:szCs w:val="24"/>
          <w:bdr w:val="none" w:sz="0" w:space="0" w:color="auto" w:frame="1"/>
          <w:shd w:val="clear" w:color="auto" w:fill="FFFFFF"/>
        </w:rPr>
        <w:t>la pacienții care nu necesită administrare de oxigen.</w:t>
      </w:r>
    </w:p>
    <w:p w14:paraId="78CE2CD8" w14:textId="77777777" w:rsidR="00E955AA" w:rsidRPr="004D2FCE"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71B9BE6" w14:textId="78F30470" w:rsidR="00E955AA" w:rsidRPr="004D2FCE" w:rsidRDefault="00022853" w:rsidP="00022853">
      <w:pPr>
        <w:spacing w:after="0" w:line="240" w:lineRule="auto"/>
        <w:ind w:left="72" w:right="72"/>
        <w:jc w:val="both"/>
        <w:rPr>
          <w:rFonts w:ascii="Times New Roman" w:eastAsia="Times New Roman" w:hAnsi="Times New Roman" w:cs="Times New Roman"/>
          <w:sz w:val="24"/>
          <w:szCs w:val="24"/>
          <w:u w:val="single"/>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În prezent, remdesivir</w:t>
      </w:r>
      <w:r w:rsidR="00B14BBE" w:rsidRPr="004D2FCE">
        <w:rPr>
          <w:rFonts w:ascii="Times New Roman" w:eastAsia="Times New Roman" w:hAnsi="Times New Roman" w:cs="Times New Roman"/>
          <w:sz w:val="24"/>
          <w:szCs w:val="24"/>
          <w:bdr w:val="none" w:sz="0" w:space="0" w:color="auto" w:frame="1"/>
          <w:shd w:val="clear" w:color="auto" w:fill="FFFFFF"/>
        </w:rPr>
        <w:t>ul este autorizat de către EMA pentru tratamentul COVID19 în Europa</w:t>
      </w:r>
      <w:r w:rsidRPr="004D2FCE">
        <w:rPr>
          <w:rFonts w:ascii="Times New Roman" w:eastAsia="Times New Roman" w:hAnsi="Times New Roman" w:cs="Times New Roman"/>
          <w:sz w:val="24"/>
          <w:szCs w:val="24"/>
          <w:bdr w:val="none" w:sz="0" w:space="0" w:color="auto" w:frame="1"/>
          <w:shd w:val="clear" w:color="auto" w:fill="FFFFFF"/>
        </w:rPr>
        <w:t xml:space="preserve">. Dozele recomandate sunt de 200 mg în prima zi și 100 mg în zilele următoare, în perfuzie endovenoasă, după diluare în ser fiziologic; durata administrării trebuie să fie de minimum 30 de minute. Nu se administrează în caz de afectare renală sau hepatică semnificativă (a se vedea RCP). </w:t>
      </w:r>
      <w:r w:rsidRPr="004D2FCE">
        <w:rPr>
          <w:rFonts w:ascii="Times New Roman" w:eastAsia="Times New Roman" w:hAnsi="Times New Roman" w:cs="Times New Roman"/>
          <w:sz w:val="24"/>
          <w:szCs w:val="24"/>
          <w:u w:val="single"/>
          <w:bdr w:val="none" w:sz="0" w:space="0" w:color="auto" w:frame="1"/>
          <w:shd w:val="clear" w:color="auto" w:fill="FFFFFF"/>
        </w:rPr>
        <w:t xml:space="preserve">Durata de administrare este de </w:t>
      </w:r>
      <w:r w:rsidR="00F01C9E" w:rsidRPr="004D2FCE">
        <w:rPr>
          <w:rFonts w:ascii="Times New Roman" w:eastAsia="Times New Roman" w:hAnsi="Times New Roman" w:cs="Times New Roman"/>
          <w:sz w:val="24"/>
          <w:szCs w:val="24"/>
          <w:u w:val="single"/>
          <w:bdr w:val="none" w:sz="0" w:space="0" w:color="auto" w:frame="1"/>
          <w:shd w:val="clear" w:color="auto" w:fill="FFFFFF"/>
        </w:rPr>
        <w:t xml:space="preserve">3 zile în formele fără necesar de oxigen și de </w:t>
      </w:r>
      <w:r w:rsidRPr="004D2FCE">
        <w:rPr>
          <w:rFonts w:ascii="Times New Roman" w:eastAsia="Times New Roman" w:hAnsi="Times New Roman" w:cs="Times New Roman"/>
          <w:sz w:val="24"/>
          <w:szCs w:val="24"/>
          <w:u w:val="single"/>
          <w:bdr w:val="none" w:sz="0" w:space="0" w:color="auto" w:frame="1"/>
          <w:shd w:val="clear" w:color="auto" w:fill="FFFFFF"/>
        </w:rPr>
        <w:t xml:space="preserve">5 zile </w:t>
      </w:r>
      <w:r w:rsidR="00F01C9E" w:rsidRPr="004D2FCE">
        <w:rPr>
          <w:rFonts w:ascii="Times New Roman" w:eastAsia="Times New Roman" w:hAnsi="Times New Roman" w:cs="Times New Roman"/>
          <w:sz w:val="24"/>
          <w:szCs w:val="24"/>
          <w:u w:val="single"/>
          <w:bdr w:val="none" w:sz="0" w:space="0" w:color="auto" w:frame="1"/>
          <w:shd w:val="clear" w:color="auto" w:fill="FFFFFF"/>
        </w:rPr>
        <w:t>în formele severe;</w:t>
      </w:r>
      <w:r w:rsidR="009C0D21" w:rsidRPr="004D2FCE">
        <w:rPr>
          <w:rFonts w:ascii="Times New Roman" w:eastAsia="Times New Roman" w:hAnsi="Times New Roman" w:cs="Times New Roman"/>
          <w:sz w:val="24"/>
          <w:szCs w:val="24"/>
          <w:u w:val="single"/>
          <w:bdr w:val="none" w:sz="0" w:space="0" w:color="auto" w:frame="1"/>
          <w:shd w:val="clear" w:color="auto" w:fill="FFFFFF"/>
        </w:rPr>
        <w:t xml:space="preserve"> dacă nu este demonstrată ameliorarea clinică, tratamentul poate fi prelungit până la 10 zile în total. La pacienții intubați, cu ECMO durata tratamentului este de 10 zile</w:t>
      </w:r>
      <w:r w:rsidR="00F01C9E" w:rsidRPr="004D2FCE">
        <w:rPr>
          <w:rFonts w:ascii="Times New Roman" w:eastAsia="Times New Roman" w:hAnsi="Times New Roman" w:cs="Times New Roman"/>
          <w:sz w:val="24"/>
          <w:szCs w:val="24"/>
          <w:u w:val="single"/>
          <w:bdr w:val="none" w:sz="0" w:space="0" w:color="auto" w:frame="1"/>
          <w:shd w:val="clear" w:color="auto" w:fill="FFFFFF"/>
        </w:rPr>
        <w:t>, dar reprezintă o indicație de excepție</w:t>
      </w:r>
      <w:r w:rsidR="009C0D21" w:rsidRPr="004D2FCE">
        <w:rPr>
          <w:rFonts w:ascii="Times New Roman" w:eastAsia="Times New Roman" w:hAnsi="Times New Roman" w:cs="Times New Roman"/>
          <w:sz w:val="24"/>
          <w:szCs w:val="24"/>
          <w:u w:val="single"/>
          <w:bdr w:val="none" w:sz="0" w:space="0" w:color="auto" w:frame="1"/>
          <w:shd w:val="clear" w:color="auto" w:fill="FFFFFF"/>
        </w:rPr>
        <w:t xml:space="preserve">. </w:t>
      </w:r>
    </w:p>
    <w:p w14:paraId="7087E4C3" w14:textId="77777777" w:rsidR="006F10C3" w:rsidRPr="004D2FCE" w:rsidRDefault="006F10C3" w:rsidP="005569A2">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85FF5AB" w14:textId="77777777" w:rsidR="006F10C3" w:rsidRPr="004D2FCE" w:rsidRDefault="006F10C3" w:rsidP="005569A2">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733D286" w14:textId="7C5032F6" w:rsidR="005569A2" w:rsidRPr="004D2FCE" w:rsidRDefault="005569A2" w:rsidP="005569A2">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B.1.b</w:t>
      </w:r>
      <w:r w:rsidR="00325349" w:rsidRPr="004D2FCE">
        <w:rPr>
          <w:rFonts w:ascii="Times New Roman" w:eastAsia="Times New Roman" w:hAnsi="Times New Roman" w:cs="Times New Roman"/>
          <w:b/>
          <w:bCs/>
          <w:sz w:val="24"/>
          <w:szCs w:val="24"/>
          <w:bdr w:val="none" w:sz="0" w:space="0" w:color="auto" w:frame="1"/>
          <w:shd w:val="clear" w:color="auto" w:fill="FFFFFF"/>
        </w:rPr>
        <w:t xml:space="preserve">.  </w:t>
      </w:r>
      <w:r w:rsidR="003039B6" w:rsidRPr="004D2FCE">
        <w:rPr>
          <w:rFonts w:ascii="Times New Roman" w:eastAsia="Times New Roman" w:hAnsi="Times New Roman" w:cs="Times New Roman"/>
          <w:b/>
          <w:sz w:val="24"/>
          <w:szCs w:val="24"/>
          <w:bdr w:val="none" w:sz="0" w:space="0" w:color="auto" w:frame="1"/>
          <w:shd w:val="clear" w:color="auto" w:fill="FFFFFF"/>
        </w:rPr>
        <w:t xml:space="preserve">Nirmatrelvir-Ritonavir </w:t>
      </w:r>
    </w:p>
    <w:p w14:paraId="2A204974" w14:textId="77777777"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3AEBAC3" w14:textId="64D90F81" w:rsidR="005569A2" w:rsidRPr="004D2FCE" w:rsidRDefault="00773632" w:rsidP="00843947">
      <w:pPr>
        <w:spacing w:after="0" w:line="240" w:lineRule="auto"/>
        <w:ind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D.C.I.-</w:t>
      </w:r>
      <w:r w:rsidR="006F10C3" w:rsidRPr="004D2FCE">
        <w:rPr>
          <w:rFonts w:ascii="Times New Roman" w:eastAsia="Times New Roman" w:hAnsi="Times New Roman" w:cs="Times New Roman"/>
          <w:b/>
          <w:sz w:val="24"/>
          <w:szCs w:val="24"/>
          <w:bdr w:val="none" w:sz="0" w:space="0" w:color="auto" w:frame="1"/>
          <w:shd w:val="clear" w:color="auto" w:fill="FFFFFF"/>
        </w:rPr>
        <w:t xml:space="preserve">Nirmatrelvir-Ritonavir </w:t>
      </w:r>
      <w:r w:rsidR="00843947" w:rsidRPr="004D2FCE">
        <w:rPr>
          <w:rFonts w:ascii="Times New Roman" w:eastAsia="Times New Roman" w:hAnsi="Times New Roman" w:cs="Times New Roman"/>
          <w:bCs/>
          <w:i/>
          <w:iCs/>
          <w:sz w:val="24"/>
          <w:szCs w:val="24"/>
          <w:bdr w:val="none" w:sz="0" w:space="0" w:color="auto" w:frame="1"/>
          <w:shd w:val="clear" w:color="auto" w:fill="FFFFFF"/>
        </w:rPr>
        <w:t>(</w:t>
      </w:r>
      <w:r w:rsidR="00461F3C" w:rsidRPr="004D2FCE">
        <w:rPr>
          <w:rFonts w:ascii="Times New Roman" w:eastAsia="Times New Roman" w:hAnsi="Times New Roman" w:cs="Times New Roman"/>
          <w:bCs/>
          <w:i/>
          <w:iCs/>
          <w:sz w:val="24"/>
          <w:szCs w:val="24"/>
          <w:bdr w:val="none" w:sz="0" w:space="0" w:color="auto" w:frame="1"/>
          <w:shd w:val="clear" w:color="auto" w:fill="FFFFFF"/>
        </w:rPr>
        <w:t>Paxlovid)</w:t>
      </w:r>
      <w:r w:rsidR="00461F3C" w:rsidRPr="004D2FCE">
        <w:rPr>
          <w:rFonts w:ascii="Times New Roman" w:eastAsia="Times New Roman" w:hAnsi="Times New Roman" w:cs="Times New Roman"/>
          <w:b/>
          <w:sz w:val="24"/>
          <w:szCs w:val="24"/>
          <w:bdr w:val="none" w:sz="0" w:space="0" w:color="auto" w:frame="1"/>
          <w:shd w:val="clear" w:color="auto" w:fill="FFFFFF"/>
        </w:rPr>
        <w:t xml:space="preserve"> </w:t>
      </w:r>
      <w:r w:rsidR="005569A2" w:rsidRPr="004D2FCE">
        <w:rPr>
          <w:rFonts w:ascii="Times New Roman" w:eastAsia="Times New Roman" w:hAnsi="Times New Roman" w:cs="Times New Roman"/>
          <w:sz w:val="24"/>
          <w:szCs w:val="24"/>
          <w:bdr w:val="none" w:sz="0" w:space="0" w:color="auto" w:frame="1"/>
          <w:shd w:val="clear" w:color="auto" w:fill="FFFFFF"/>
        </w:rPr>
        <w:t xml:space="preserve">este o asociere </w:t>
      </w:r>
      <w:r w:rsidR="00BE4888" w:rsidRPr="004D2FCE">
        <w:rPr>
          <w:rFonts w:ascii="Times New Roman" w:eastAsia="Times New Roman" w:hAnsi="Times New Roman" w:cs="Times New Roman"/>
          <w:sz w:val="24"/>
          <w:szCs w:val="24"/>
          <w:bdr w:val="none" w:sz="0" w:space="0" w:color="auto" w:frame="1"/>
          <w:shd w:val="clear" w:color="auto" w:fill="FFFFFF"/>
        </w:rPr>
        <w:t>de două</w:t>
      </w:r>
      <w:r w:rsidR="00FD031F" w:rsidRPr="004D2FCE">
        <w:rPr>
          <w:rFonts w:ascii="Times New Roman" w:eastAsia="Times New Roman" w:hAnsi="Times New Roman" w:cs="Times New Roman"/>
          <w:sz w:val="24"/>
          <w:szCs w:val="24"/>
          <w:bdr w:val="none" w:sz="0" w:space="0" w:color="auto" w:frame="1"/>
          <w:shd w:val="clear" w:color="auto" w:fill="FFFFFF"/>
        </w:rPr>
        <w:t xml:space="preserve"> antivirale</w:t>
      </w:r>
      <w:r w:rsidR="00BE4888" w:rsidRPr="004D2FCE">
        <w:rPr>
          <w:rFonts w:ascii="Times New Roman" w:eastAsia="Times New Roman" w:hAnsi="Times New Roman" w:cs="Times New Roman"/>
          <w:sz w:val="24"/>
          <w:szCs w:val="24"/>
          <w:bdr w:val="none" w:sz="0" w:space="0" w:color="auto" w:frame="1"/>
          <w:shd w:val="clear" w:color="auto" w:fill="FFFFFF"/>
        </w:rPr>
        <w:t xml:space="preserve"> de administrare orală</w:t>
      </w:r>
      <w:r w:rsidR="00FD031F" w:rsidRPr="004D2FCE">
        <w:rPr>
          <w:rFonts w:ascii="Times New Roman" w:eastAsia="Times New Roman" w:hAnsi="Times New Roman" w:cs="Times New Roman"/>
          <w:sz w:val="24"/>
          <w:szCs w:val="24"/>
          <w:bdr w:val="none" w:sz="0" w:space="0" w:color="auto" w:frame="1"/>
          <w:shd w:val="clear" w:color="auto" w:fill="FFFFFF"/>
        </w:rPr>
        <w:t xml:space="preserve">: </w:t>
      </w:r>
      <w:r w:rsidR="008158FD" w:rsidRPr="004D2FCE">
        <w:rPr>
          <w:rFonts w:ascii="Times New Roman" w:eastAsia="Times New Roman" w:hAnsi="Times New Roman" w:cs="Times New Roman"/>
          <w:sz w:val="24"/>
          <w:szCs w:val="24"/>
          <w:bdr w:val="none" w:sz="0" w:space="0" w:color="auto" w:frame="1"/>
          <w:shd w:val="clear" w:color="auto" w:fill="FFFFFF"/>
        </w:rPr>
        <w:t>Nirma</w:t>
      </w:r>
      <w:r w:rsidR="00FD031F" w:rsidRPr="004D2FCE">
        <w:rPr>
          <w:rFonts w:ascii="Times New Roman" w:eastAsia="Times New Roman" w:hAnsi="Times New Roman" w:cs="Times New Roman"/>
          <w:sz w:val="24"/>
          <w:szCs w:val="24"/>
          <w:bdr w:val="none" w:sz="0" w:space="0" w:color="auto" w:frame="1"/>
          <w:shd w:val="clear" w:color="auto" w:fill="FFFFFF"/>
        </w:rPr>
        <w:t>tre</w:t>
      </w:r>
      <w:r w:rsidR="008158FD" w:rsidRPr="004D2FCE">
        <w:rPr>
          <w:rFonts w:ascii="Times New Roman" w:eastAsia="Times New Roman" w:hAnsi="Times New Roman" w:cs="Times New Roman"/>
          <w:sz w:val="24"/>
          <w:szCs w:val="24"/>
          <w:bdr w:val="none" w:sz="0" w:space="0" w:color="auto" w:frame="1"/>
          <w:shd w:val="clear" w:color="auto" w:fill="FFFFFF"/>
        </w:rPr>
        <w:t>l</w:t>
      </w:r>
      <w:r w:rsidR="00FD031F" w:rsidRPr="004D2FCE">
        <w:rPr>
          <w:rFonts w:ascii="Times New Roman" w:eastAsia="Times New Roman" w:hAnsi="Times New Roman" w:cs="Times New Roman"/>
          <w:sz w:val="24"/>
          <w:szCs w:val="24"/>
          <w:bdr w:val="none" w:sz="0" w:space="0" w:color="auto" w:frame="1"/>
          <w:shd w:val="clear" w:color="auto" w:fill="FFFFFF"/>
        </w:rPr>
        <w:t xml:space="preserve">vir </w:t>
      </w:r>
      <w:r w:rsidR="00BE4888" w:rsidRPr="004D2FCE">
        <w:rPr>
          <w:rFonts w:ascii="Times New Roman" w:eastAsia="Times New Roman" w:hAnsi="Times New Roman" w:cs="Times New Roman"/>
          <w:sz w:val="24"/>
          <w:szCs w:val="24"/>
          <w:bdr w:val="none" w:sz="0" w:space="0" w:color="auto" w:frame="1"/>
          <w:shd w:val="clear" w:color="auto" w:fill="FFFFFF"/>
        </w:rPr>
        <w:t xml:space="preserve">al cărui efect </w:t>
      </w:r>
      <w:r w:rsidR="005569A2" w:rsidRPr="004D2FCE">
        <w:rPr>
          <w:rFonts w:ascii="Times New Roman" w:eastAsia="Times New Roman" w:hAnsi="Times New Roman" w:cs="Times New Roman"/>
          <w:sz w:val="24"/>
          <w:szCs w:val="24"/>
          <w:bdr w:val="none" w:sz="0" w:space="0" w:color="auto" w:frame="1"/>
          <w:shd w:val="clear" w:color="auto" w:fill="FFFFFF"/>
        </w:rPr>
        <w:t>se e</w:t>
      </w:r>
      <w:r w:rsidR="00FD031F" w:rsidRPr="004D2FCE">
        <w:rPr>
          <w:rFonts w:ascii="Times New Roman" w:eastAsia="Times New Roman" w:hAnsi="Times New Roman" w:cs="Times New Roman"/>
          <w:sz w:val="24"/>
          <w:szCs w:val="24"/>
          <w:bdr w:val="none" w:sz="0" w:space="0" w:color="auto" w:frame="1"/>
          <w:shd w:val="clear" w:color="auto" w:fill="FFFFFF"/>
        </w:rPr>
        <w:t>xercită prin inhibare</w:t>
      </w:r>
      <w:r w:rsidR="002C1867" w:rsidRPr="004D2FCE">
        <w:rPr>
          <w:rFonts w:ascii="Times New Roman" w:eastAsia="Times New Roman" w:hAnsi="Times New Roman" w:cs="Times New Roman"/>
          <w:sz w:val="24"/>
          <w:szCs w:val="24"/>
          <w:bdr w:val="none" w:sz="0" w:space="0" w:color="auto" w:frame="1"/>
          <w:shd w:val="clear" w:color="auto" w:fill="FFFFFF"/>
        </w:rPr>
        <w:t>a</w:t>
      </w:r>
      <w:r w:rsidR="005569A2" w:rsidRPr="004D2FCE">
        <w:rPr>
          <w:rFonts w:ascii="Times New Roman" w:eastAsia="Times New Roman" w:hAnsi="Times New Roman" w:cs="Times New Roman"/>
          <w:sz w:val="24"/>
          <w:szCs w:val="24"/>
          <w:bdr w:val="none" w:sz="0" w:space="0" w:color="auto" w:frame="1"/>
          <w:shd w:val="clear" w:color="auto" w:fill="FFFFFF"/>
        </w:rPr>
        <w:t xml:space="preserve"> unei proteaze </w:t>
      </w:r>
      <w:r w:rsidR="008158FD" w:rsidRPr="004D2FCE">
        <w:rPr>
          <w:rFonts w:ascii="Times New Roman" w:eastAsia="Times New Roman" w:hAnsi="Times New Roman" w:cs="Times New Roman"/>
          <w:sz w:val="24"/>
          <w:szCs w:val="24"/>
          <w:bdr w:val="none" w:sz="0" w:space="0" w:color="auto" w:frame="1"/>
          <w:shd w:val="clear" w:color="auto" w:fill="FFFFFF"/>
        </w:rPr>
        <w:t>specifice coronavirusurilor și  Ritonavir care inhibă metabolizarea nirmatrelvirului</w:t>
      </w:r>
      <w:r w:rsidR="005569A2" w:rsidRPr="004D2FCE">
        <w:rPr>
          <w:rFonts w:ascii="Times New Roman" w:eastAsia="Times New Roman" w:hAnsi="Times New Roman" w:cs="Times New Roman"/>
          <w:sz w:val="24"/>
          <w:szCs w:val="24"/>
          <w:bdr w:val="none" w:sz="0" w:space="0" w:color="auto" w:frame="1"/>
          <w:shd w:val="clear" w:color="auto" w:fill="FFFFFF"/>
        </w:rPr>
        <w:t>, prelungind timpul de acțiune</w:t>
      </w:r>
      <w:r w:rsidR="008158FD" w:rsidRPr="004D2FCE">
        <w:rPr>
          <w:rFonts w:ascii="Times New Roman" w:eastAsia="Times New Roman" w:hAnsi="Times New Roman" w:cs="Times New Roman"/>
          <w:sz w:val="24"/>
          <w:szCs w:val="24"/>
          <w:bdr w:val="none" w:sz="0" w:space="0" w:color="auto" w:frame="1"/>
          <w:shd w:val="clear" w:color="auto" w:fill="FFFFFF"/>
        </w:rPr>
        <w:t xml:space="preserve"> al acestuia</w:t>
      </w:r>
      <w:r w:rsidR="005569A2" w:rsidRPr="004D2FCE">
        <w:rPr>
          <w:rFonts w:ascii="Times New Roman" w:eastAsia="Times New Roman" w:hAnsi="Times New Roman" w:cs="Times New Roman"/>
          <w:sz w:val="24"/>
          <w:szCs w:val="24"/>
          <w:bdr w:val="none" w:sz="0" w:space="0" w:color="auto" w:frame="1"/>
          <w:shd w:val="clear" w:color="auto" w:fill="FFFFFF"/>
        </w:rPr>
        <w:t>. Există date care susțin un beneficiu în cazul administrării precoce, în primele cinci zile de boală, la pacienți cu factori de risc pentru evoluție severă, reducând semnificativ riscul de agravare și de deces.</w:t>
      </w:r>
    </w:p>
    <w:p w14:paraId="513F9997" w14:textId="77777777"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FF40C07" w14:textId="38A87435"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Dozele folosite au fost de 300 mg </w:t>
      </w:r>
      <w:r w:rsidR="008158FD" w:rsidRPr="004D2FCE">
        <w:rPr>
          <w:rFonts w:ascii="Times New Roman" w:eastAsia="Times New Roman" w:hAnsi="Times New Roman" w:cs="Times New Roman"/>
          <w:sz w:val="24"/>
          <w:szCs w:val="24"/>
          <w:bdr w:val="none" w:sz="0" w:space="0" w:color="auto" w:frame="1"/>
          <w:shd w:val="clear" w:color="auto" w:fill="FFFFFF"/>
        </w:rPr>
        <w:t xml:space="preserve">nirmatrelvir </w:t>
      </w:r>
      <w:r w:rsidRPr="004D2FCE">
        <w:rPr>
          <w:rFonts w:ascii="Times New Roman" w:eastAsia="Times New Roman" w:hAnsi="Times New Roman" w:cs="Times New Roman"/>
          <w:sz w:val="24"/>
          <w:szCs w:val="24"/>
          <w:bdr w:val="none" w:sz="0" w:space="0" w:color="auto" w:frame="1"/>
          <w:shd w:val="clear" w:color="auto" w:fill="FFFFFF"/>
        </w:rPr>
        <w:t xml:space="preserve">asociat cu 100 mg de ritonavir la fiecare 12 ore pentru 5 zile, administrat oral. Doza de paxlovid se înjumătățește la pacienții cu insuficiență renală medie; la pacienții cu eFGR sub 30 ml/min. și la pacienții cu disfuncție hepatică severă produsul este complet interzis. O problemă importantă este riscul de reacții adverse determinate de medicația concomitentă, întrucât ritonavirul poate modifica dinamica metabolizării lor. Nu </w:t>
      </w:r>
      <w:r w:rsidR="00BE4888" w:rsidRPr="004D2FCE">
        <w:rPr>
          <w:rFonts w:ascii="Times New Roman" w:eastAsia="Times New Roman" w:hAnsi="Times New Roman" w:cs="Times New Roman"/>
          <w:sz w:val="24"/>
          <w:szCs w:val="24"/>
          <w:bdr w:val="none" w:sz="0" w:space="0" w:color="auto" w:frame="1"/>
          <w:shd w:val="clear" w:color="auto" w:fill="FFFFFF"/>
        </w:rPr>
        <w:t>este recomandat în timp</w:t>
      </w:r>
      <w:r w:rsidR="008158FD" w:rsidRPr="004D2FCE">
        <w:rPr>
          <w:rFonts w:ascii="Times New Roman" w:eastAsia="Times New Roman" w:hAnsi="Times New Roman" w:cs="Times New Roman"/>
          <w:sz w:val="24"/>
          <w:szCs w:val="24"/>
          <w:bdr w:val="none" w:sz="0" w:space="0" w:color="auto" w:frame="1"/>
          <w:shd w:val="clear" w:color="auto" w:fill="FFFFFF"/>
        </w:rPr>
        <w:t>ul sarcinii și</w:t>
      </w:r>
      <w:r w:rsidR="00BE4888" w:rsidRPr="004D2FCE">
        <w:rPr>
          <w:rFonts w:ascii="Times New Roman" w:eastAsia="Times New Roman" w:hAnsi="Times New Roman" w:cs="Times New Roman"/>
          <w:sz w:val="24"/>
          <w:szCs w:val="24"/>
          <w:bdr w:val="none" w:sz="0" w:space="0" w:color="auto" w:frame="1"/>
          <w:shd w:val="clear" w:color="auto" w:fill="FFFFFF"/>
        </w:rPr>
        <w:t xml:space="preserve"> la femeil</w:t>
      </w:r>
      <w:r w:rsidR="008158FD" w:rsidRPr="004D2FCE">
        <w:rPr>
          <w:rFonts w:ascii="Times New Roman" w:eastAsia="Times New Roman" w:hAnsi="Times New Roman" w:cs="Times New Roman"/>
          <w:sz w:val="24"/>
          <w:szCs w:val="24"/>
          <w:bdr w:val="none" w:sz="0" w:space="0" w:color="auto" w:frame="1"/>
          <w:shd w:val="clear" w:color="auto" w:fill="FFFFFF"/>
        </w:rPr>
        <w:t xml:space="preserve">e de vârstă fertilă </w:t>
      </w:r>
      <w:r w:rsidR="00BE4888" w:rsidRPr="004D2FCE">
        <w:rPr>
          <w:rFonts w:ascii="Times New Roman" w:eastAsia="Times New Roman" w:hAnsi="Times New Roman" w:cs="Times New Roman"/>
          <w:sz w:val="24"/>
          <w:szCs w:val="24"/>
          <w:bdr w:val="none" w:sz="0" w:space="0" w:color="auto" w:frame="1"/>
          <w:shd w:val="clear" w:color="auto" w:fill="FFFFFF"/>
        </w:rPr>
        <w:t>care nu utilizeaza metode contraceptive</w:t>
      </w:r>
      <w:r w:rsidRPr="004D2FCE">
        <w:rPr>
          <w:rFonts w:ascii="Times New Roman" w:eastAsia="Times New Roman" w:hAnsi="Times New Roman" w:cs="Times New Roman"/>
          <w:sz w:val="24"/>
          <w:szCs w:val="24"/>
          <w:bdr w:val="none" w:sz="0" w:space="0" w:color="auto" w:frame="1"/>
          <w:shd w:val="clear" w:color="auto" w:fill="FFFFFF"/>
        </w:rPr>
        <w:t>.</w:t>
      </w:r>
    </w:p>
    <w:p w14:paraId="207E17AD" w14:textId="77777777"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5358093" w14:textId="782FEC90" w:rsidR="00B44DD4" w:rsidRPr="004D2FCE" w:rsidRDefault="00AF6DE0" w:rsidP="00AF6DE0">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Actualmente</w:t>
      </w:r>
      <w:r w:rsidR="00BE4888" w:rsidRPr="004D2FCE">
        <w:rPr>
          <w:rFonts w:ascii="Times New Roman" w:eastAsia="Times New Roman" w:hAnsi="Times New Roman" w:cs="Times New Roman"/>
          <w:sz w:val="24"/>
          <w:szCs w:val="24"/>
          <w:bdr w:val="none" w:sz="0" w:space="0" w:color="auto" w:frame="1"/>
          <w:shd w:val="clear" w:color="auto" w:fill="FFFFFF"/>
        </w:rPr>
        <w:t xml:space="preserve"> (mai 2023)</w:t>
      </w:r>
      <w:r w:rsidRPr="004D2FCE">
        <w:rPr>
          <w:rFonts w:ascii="Times New Roman" w:eastAsia="Times New Roman" w:hAnsi="Times New Roman" w:cs="Times New Roman"/>
          <w:sz w:val="24"/>
          <w:szCs w:val="24"/>
          <w:bdr w:val="none" w:sz="0" w:space="0" w:color="auto" w:frame="1"/>
          <w:shd w:val="clear" w:color="auto" w:fill="FFFFFF"/>
        </w:rPr>
        <w:t xml:space="preserve">, </w:t>
      </w:r>
      <w:r w:rsidRPr="004D2FCE">
        <w:rPr>
          <w:rFonts w:ascii="Times New Roman" w:eastAsia="Times New Roman" w:hAnsi="Times New Roman" w:cs="Times New Roman"/>
          <w:b/>
          <w:sz w:val="24"/>
          <w:szCs w:val="24"/>
          <w:bdr w:val="none" w:sz="0" w:space="0" w:color="auto" w:frame="1"/>
          <w:shd w:val="clear" w:color="auto" w:fill="FFFFFF"/>
        </w:rPr>
        <w:t xml:space="preserve">Nirmatrelvir-Ritonavir </w:t>
      </w:r>
      <w:r w:rsidR="00B44DD4" w:rsidRPr="004D2FCE">
        <w:rPr>
          <w:rFonts w:ascii="Times New Roman" w:eastAsia="Times New Roman" w:hAnsi="Times New Roman" w:cs="Times New Roman"/>
          <w:sz w:val="24"/>
          <w:szCs w:val="24"/>
          <w:bdr w:val="none" w:sz="0" w:space="0" w:color="auto" w:frame="1"/>
          <w:shd w:val="clear" w:color="auto" w:fill="FFFFFF"/>
        </w:rPr>
        <w:t xml:space="preserve">are autorizație EMA </w:t>
      </w:r>
      <w:r w:rsidR="00E82F5C" w:rsidRPr="004D2FCE">
        <w:rPr>
          <w:rFonts w:ascii="Times New Roman" w:eastAsia="Times New Roman" w:hAnsi="Times New Roman" w:cs="Times New Roman"/>
          <w:sz w:val="24"/>
          <w:szCs w:val="24"/>
          <w:bdr w:val="none" w:sz="0" w:space="0" w:color="auto" w:frame="1"/>
          <w:shd w:val="clear" w:color="auto" w:fill="FFFFFF"/>
        </w:rPr>
        <w:t xml:space="preserve">în Europa </w:t>
      </w:r>
      <w:r w:rsidR="00B44DD4" w:rsidRPr="004D2FCE">
        <w:rPr>
          <w:rFonts w:ascii="Times New Roman" w:eastAsia="Times New Roman" w:hAnsi="Times New Roman" w:cs="Times New Roman"/>
          <w:sz w:val="24"/>
          <w:szCs w:val="24"/>
          <w:bdr w:val="none" w:sz="0" w:space="0" w:color="auto" w:frame="1"/>
          <w:shd w:val="clear" w:color="auto" w:fill="FFFFFF"/>
        </w:rPr>
        <w:t>pentru utilizare în COVID19</w:t>
      </w:r>
      <w:r w:rsidR="00E82F5C" w:rsidRPr="004D2FCE">
        <w:rPr>
          <w:rFonts w:ascii="Times New Roman" w:eastAsia="Times New Roman" w:hAnsi="Times New Roman" w:cs="Times New Roman"/>
          <w:sz w:val="24"/>
          <w:szCs w:val="24"/>
          <w:bdr w:val="none" w:sz="0" w:space="0" w:color="auto" w:frame="1"/>
          <w:shd w:val="clear" w:color="auto" w:fill="FFFFFF"/>
        </w:rPr>
        <w:t xml:space="preserve">, fiind considerat </w:t>
      </w:r>
      <w:r w:rsidR="00BE4888" w:rsidRPr="004D2FCE">
        <w:rPr>
          <w:rFonts w:ascii="Times New Roman" w:eastAsia="Times New Roman" w:hAnsi="Times New Roman" w:cs="Times New Roman"/>
          <w:sz w:val="24"/>
          <w:szCs w:val="24"/>
          <w:bdr w:val="none" w:sz="0" w:space="0" w:color="auto" w:frame="1"/>
          <w:shd w:val="clear" w:color="auto" w:fill="FFFFFF"/>
        </w:rPr>
        <w:t xml:space="preserve">în ghidurile internaționale actuale </w:t>
      </w:r>
      <w:r w:rsidR="00E33722" w:rsidRPr="004D2FCE">
        <w:rPr>
          <w:rFonts w:ascii="Times New Roman" w:eastAsia="Times New Roman" w:hAnsi="Times New Roman" w:cs="Times New Roman"/>
          <w:sz w:val="24"/>
          <w:szCs w:val="24"/>
          <w:bdr w:val="none" w:sz="0" w:space="0" w:color="auto" w:frame="1"/>
          <w:shd w:val="clear" w:color="auto" w:fill="FFFFFF"/>
        </w:rPr>
        <w:t xml:space="preserve">opțiunea de primă alegere pentru terapia antivirală </w:t>
      </w:r>
      <w:r w:rsidR="00600126" w:rsidRPr="004D2FCE">
        <w:rPr>
          <w:rFonts w:ascii="Times New Roman" w:eastAsia="Times New Roman" w:hAnsi="Times New Roman" w:cs="Times New Roman"/>
          <w:sz w:val="24"/>
          <w:szCs w:val="24"/>
          <w:bdr w:val="none" w:sz="0" w:space="0" w:color="auto" w:frame="1"/>
          <w:shd w:val="clear" w:color="auto" w:fill="FFFFFF"/>
        </w:rPr>
        <w:t xml:space="preserve">orală </w:t>
      </w:r>
      <w:r w:rsidR="00E33722" w:rsidRPr="004D2FCE">
        <w:rPr>
          <w:rFonts w:ascii="Times New Roman" w:eastAsia="Times New Roman" w:hAnsi="Times New Roman" w:cs="Times New Roman"/>
          <w:sz w:val="24"/>
          <w:szCs w:val="24"/>
          <w:bdr w:val="none" w:sz="0" w:space="0" w:color="auto" w:frame="1"/>
          <w:shd w:val="clear" w:color="auto" w:fill="FFFFFF"/>
        </w:rPr>
        <w:t xml:space="preserve">la pacienții </w:t>
      </w:r>
      <w:r w:rsidR="0091269C" w:rsidRPr="004D2FCE">
        <w:rPr>
          <w:rFonts w:ascii="Times New Roman" w:eastAsia="Times New Roman" w:hAnsi="Times New Roman" w:cs="Times New Roman"/>
          <w:sz w:val="24"/>
          <w:szCs w:val="24"/>
          <w:bdr w:val="none" w:sz="0" w:space="0" w:color="auto" w:frame="1"/>
          <w:shd w:val="clear" w:color="auto" w:fill="FFFFFF"/>
        </w:rPr>
        <w:t>nespitalizați</w:t>
      </w:r>
      <w:r w:rsidR="00C47941" w:rsidRPr="004D2FCE">
        <w:rPr>
          <w:rFonts w:ascii="Times New Roman" w:eastAsia="Times New Roman" w:hAnsi="Times New Roman" w:cs="Times New Roman"/>
          <w:sz w:val="24"/>
          <w:szCs w:val="24"/>
          <w:bdr w:val="none" w:sz="0" w:space="0" w:color="auto" w:frame="1"/>
          <w:shd w:val="clear" w:color="auto" w:fill="FFFFFF"/>
        </w:rPr>
        <w:t>,</w:t>
      </w:r>
      <w:r w:rsidR="0091269C" w:rsidRPr="004D2FCE">
        <w:rPr>
          <w:rFonts w:ascii="Times New Roman" w:eastAsia="Times New Roman" w:hAnsi="Times New Roman" w:cs="Times New Roman"/>
          <w:sz w:val="24"/>
          <w:szCs w:val="24"/>
          <w:bdr w:val="none" w:sz="0" w:space="0" w:color="auto" w:frame="1"/>
          <w:shd w:val="clear" w:color="auto" w:fill="FFFFFF"/>
        </w:rPr>
        <w:t xml:space="preserve"> </w:t>
      </w:r>
      <w:r w:rsidR="00E33722" w:rsidRPr="004D2FCE">
        <w:rPr>
          <w:rFonts w:ascii="Times New Roman" w:eastAsia="Times New Roman" w:hAnsi="Times New Roman" w:cs="Times New Roman"/>
          <w:sz w:val="24"/>
          <w:szCs w:val="24"/>
          <w:bdr w:val="none" w:sz="0" w:space="0" w:color="auto" w:frame="1"/>
          <w:shd w:val="clear" w:color="auto" w:fill="FFFFFF"/>
        </w:rPr>
        <w:t xml:space="preserve">cu forme </w:t>
      </w:r>
      <w:r w:rsidR="00C47941" w:rsidRPr="004D2FCE">
        <w:rPr>
          <w:rFonts w:ascii="Times New Roman" w:eastAsia="Times New Roman" w:hAnsi="Times New Roman" w:cs="Times New Roman"/>
          <w:sz w:val="24"/>
          <w:szCs w:val="24"/>
          <w:bdr w:val="none" w:sz="0" w:space="0" w:color="auto" w:frame="1"/>
          <w:shd w:val="clear" w:color="auto" w:fill="FFFFFF"/>
        </w:rPr>
        <w:t xml:space="preserve">clinice </w:t>
      </w:r>
      <w:r w:rsidR="00E33722" w:rsidRPr="004D2FCE">
        <w:rPr>
          <w:rFonts w:ascii="Times New Roman" w:eastAsia="Times New Roman" w:hAnsi="Times New Roman" w:cs="Times New Roman"/>
          <w:sz w:val="24"/>
          <w:szCs w:val="24"/>
          <w:bdr w:val="none" w:sz="0" w:space="0" w:color="auto" w:frame="1"/>
          <w:shd w:val="clear" w:color="auto" w:fill="FFFFFF"/>
        </w:rPr>
        <w:t xml:space="preserve">ușoare </w:t>
      </w:r>
      <w:r w:rsidR="00C47941" w:rsidRPr="004D2FCE">
        <w:rPr>
          <w:rFonts w:ascii="Times New Roman" w:eastAsia="Times New Roman" w:hAnsi="Times New Roman" w:cs="Times New Roman"/>
          <w:sz w:val="24"/>
          <w:szCs w:val="24"/>
          <w:bdr w:val="none" w:sz="0" w:space="0" w:color="auto" w:frame="1"/>
          <w:shd w:val="clear" w:color="auto" w:fill="FFFFFF"/>
        </w:rPr>
        <w:t xml:space="preserve">până la forme clinice medii </w:t>
      </w:r>
      <w:r w:rsidR="00E33722" w:rsidRPr="004D2FCE">
        <w:rPr>
          <w:rFonts w:ascii="Times New Roman" w:eastAsia="Times New Roman" w:hAnsi="Times New Roman" w:cs="Times New Roman"/>
          <w:sz w:val="24"/>
          <w:szCs w:val="24"/>
          <w:bdr w:val="none" w:sz="0" w:space="0" w:color="auto" w:frame="1"/>
          <w:shd w:val="clear" w:color="auto" w:fill="FFFFFF"/>
        </w:rPr>
        <w:t>de COVID19</w:t>
      </w:r>
      <w:r w:rsidR="0091269C" w:rsidRPr="004D2FCE">
        <w:rPr>
          <w:rFonts w:ascii="Times New Roman" w:eastAsia="Times New Roman" w:hAnsi="Times New Roman" w:cs="Times New Roman"/>
          <w:sz w:val="24"/>
          <w:szCs w:val="24"/>
          <w:bdr w:val="none" w:sz="0" w:space="0" w:color="auto" w:frame="1"/>
          <w:shd w:val="clear" w:color="auto" w:fill="FFFFFF"/>
        </w:rPr>
        <w:t xml:space="preserve"> </w:t>
      </w:r>
      <w:r w:rsidR="00E33722" w:rsidRPr="004D2FCE">
        <w:rPr>
          <w:rFonts w:ascii="Times New Roman" w:eastAsia="Times New Roman" w:hAnsi="Times New Roman" w:cs="Times New Roman"/>
          <w:sz w:val="24"/>
          <w:szCs w:val="24"/>
          <w:bdr w:val="none" w:sz="0" w:space="0" w:color="auto" w:frame="1"/>
          <w:shd w:val="clear" w:color="auto" w:fill="FFFFFF"/>
        </w:rPr>
        <w:t>și cu factori de risc pentru evoluția spre forme severe de boală.</w:t>
      </w:r>
    </w:p>
    <w:p w14:paraId="205F04FE" w14:textId="5D4E43FB"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4C22225" w14:textId="5A2722AA" w:rsidR="00E33722" w:rsidRPr="004D2FCE" w:rsidRDefault="00E3372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Asocierea nirmatrelvir/ritonavir are intercațiuni medicamentoase cu anumite clase terapeutice importante, care trebuie evaluate înainte de prescrierea medicației de către medicul curant, conform RCP-ului produsului. </w:t>
      </w:r>
    </w:p>
    <w:p w14:paraId="784F4023" w14:textId="77777777"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8AC5B35" w14:textId="77777777" w:rsidR="005569A2" w:rsidRPr="004D2FCE" w:rsidRDefault="005569A2"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1E24EA4" w14:textId="119B1074" w:rsidR="005033A4"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B.1.</w:t>
      </w:r>
      <w:r w:rsidR="005569A2" w:rsidRPr="004D2FCE">
        <w:rPr>
          <w:rFonts w:ascii="Times New Roman" w:eastAsia="Times New Roman" w:hAnsi="Times New Roman" w:cs="Times New Roman"/>
          <w:b/>
          <w:bCs/>
          <w:sz w:val="24"/>
          <w:szCs w:val="24"/>
          <w:bdr w:val="none" w:sz="0" w:space="0" w:color="auto" w:frame="1"/>
          <w:shd w:val="clear" w:color="auto" w:fill="FFFFFF"/>
        </w:rPr>
        <w:t>c</w:t>
      </w:r>
      <w:r w:rsidR="005033A4" w:rsidRPr="004D2FCE">
        <w:rPr>
          <w:rFonts w:ascii="Times New Roman" w:eastAsia="Times New Roman" w:hAnsi="Times New Roman" w:cs="Times New Roman"/>
          <w:b/>
          <w:bCs/>
          <w:sz w:val="24"/>
          <w:szCs w:val="24"/>
          <w:bdr w:val="none" w:sz="0" w:space="0" w:color="auto" w:frame="1"/>
          <w:shd w:val="clear" w:color="auto" w:fill="FFFFFF"/>
        </w:rPr>
        <w:t xml:space="preserve">. </w:t>
      </w:r>
      <w:r w:rsidR="005033A4" w:rsidRPr="004D2FCE">
        <w:rPr>
          <w:rFonts w:ascii="Times New Roman" w:eastAsia="Times New Roman" w:hAnsi="Times New Roman" w:cs="Times New Roman"/>
          <w:b/>
          <w:sz w:val="24"/>
          <w:szCs w:val="24"/>
          <w:bdr w:val="none" w:sz="0" w:space="0" w:color="auto" w:frame="1"/>
          <w:shd w:val="clear" w:color="auto" w:fill="FFFFFF"/>
        </w:rPr>
        <w:t>Molnupiravir</w:t>
      </w:r>
      <w:r w:rsidR="00461F3C" w:rsidRPr="004D2FCE">
        <w:rPr>
          <w:rFonts w:ascii="Times New Roman" w:eastAsia="Times New Roman" w:hAnsi="Times New Roman" w:cs="Times New Roman"/>
          <w:b/>
          <w:sz w:val="24"/>
          <w:szCs w:val="24"/>
          <w:bdr w:val="none" w:sz="0" w:space="0" w:color="auto" w:frame="1"/>
          <w:shd w:val="clear" w:color="auto" w:fill="FFFFFF"/>
        </w:rPr>
        <w:t xml:space="preserve"> </w:t>
      </w:r>
    </w:p>
    <w:p w14:paraId="087E96A6" w14:textId="77777777" w:rsidR="005033A4" w:rsidRPr="004D2FCE"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364A8AA" w14:textId="69BEEA65" w:rsidR="005033A4" w:rsidRPr="004D2FCE" w:rsidRDefault="00CD4169"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D.C.I.-</w:t>
      </w:r>
      <w:r w:rsidR="00022853" w:rsidRPr="004D2FCE">
        <w:rPr>
          <w:rFonts w:ascii="Times New Roman" w:eastAsia="Times New Roman" w:hAnsi="Times New Roman" w:cs="Times New Roman"/>
          <w:b/>
          <w:sz w:val="24"/>
          <w:szCs w:val="24"/>
          <w:bdr w:val="none" w:sz="0" w:space="0" w:color="auto" w:frame="1"/>
          <w:shd w:val="clear" w:color="auto" w:fill="FFFFFF"/>
        </w:rPr>
        <w:t>Molnupiravir</w:t>
      </w:r>
      <w:r w:rsidR="00022853" w:rsidRPr="004D2FCE">
        <w:rPr>
          <w:rFonts w:ascii="Times New Roman" w:eastAsia="Times New Roman" w:hAnsi="Times New Roman" w:cs="Times New Roman"/>
          <w:sz w:val="24"/>
          <w:szCs w:val="24"/>
          <w:bdr w:val="none" w:sz="0" w:space="0" w:color="auto" w:frame="1"/>
          <w:shd w:val="clear" w:color="auto" w:fill="FFFFFF"/>
        </w:rPr>
        <w:t xml:space="preserve"> </w:t>
      </w:r>
      <w:r w:rsidR="00461F3C" w:rsidRPr="004D2FCE">
        <w:rPr>
          <w:rFonts w:ascii="Times New Roman" w:eastAsia="Times New Roman" w:hAnsi="Times New Roman" w:cs="Times New Roman"/>
          <w:i/>
          <w:iCs/>
          <w:sz w:val="24"/>
          <w:szCs w:val="24"/>
          <w:bdr w:val="none" w:sz="0" w:space="0" w:color="auto" w:frame="1"/>
          <w:shd w:val="clear" w:color="auto" w:fill="FFFFFF"/>
        </w:rPr>
        <w:t>(Lagevrio)</w:t>
      </w:r>
      <w:r w:rsidR="00461F3C" w:rsidRPr="004D2FCE">
        <w:rPr>
          <w:rFonts w:ascii="Times New Roman" w:eastAsia="Times New Roman" w:hAnsi="Times New Roman" w:cs="Times New Roman"/>
          <w:sz w:val="24"/>
          <w:szCs w:val="24"/>
          <w:bdr w:val="none" w:sz="0" w:space="0" w:color="auto" w:frame="1"/>
          <w:shd w:val="clear" w:color="auto" w:fill="FFFFFF"/>
        </w:rPr>
        <w:t xml:space="preserve"> </w:t>
      </w:r>
      <w:r w:rsidR="00022853" w:rsidRPr="004D2FCE">
        <w:rPr>
          <w:rFonts w:ascii="Times New Roman" w:eastAsia="Times New Roman" w:hAnsi="Times New Roman" w:cs="Times New Roman"/>
          <w:sz w:val="24"/>
          <w:szCs w:val="24"/>
          <w:bdr w:val="none" w:sz="0" w:space="0" w:color="auto" w:frame="1"/>
          <w:shd w:val="clear" w:color="auto" w:fill="FFFFFF"/>
        </w:rPr>
        <w:t>este un antiviral oral</w:t>
      </w:r>
      <w:r w:rsidR="008158FD" w:rsidRPr="004D2FCE">
        <w:rPr>
          <w:rFonts w:ascii="Times New Roman" w:eastAsia="Times New Roman" w:hAnsi="Times New Roman" w:cs="Times New Roman"/>
          <w:sz w:val="24"/>
          <w:szCs w:val="24"/>
          <w:bdr w:val="none" w:sz="0" w:space="0" w:color="auto" w:frame="1"/>
          <w:shd w:val="clear" w:color="auto" w:fill="FFFFFF"/>
        </w:rPr>
        <w:t>,</w:t>
      </w:r>
      <w:r w:rsidR="00022853" w:rsidRPr="004D2FCE">
        <w:rPr>
          <w:rFonts w:ascii="Times New Roman" w:eastAsia="Times New Roman" w:hAnsi="Times New Roman" w:cs="Times New Roman"/>
          <w:sz w:val="24"/>
          <w:szCs w:val="24"/>
          <w:bdr w:val="none" w:sz="0" w:space="0" w:color="auto" w:frame="1"/>
          <w:shd w:val="clear" w:color="auto" w:fill="FFFFFF"/>
        </w:rPr>
        <w:t xml:space="preserve"> care după activare este încorporat în ARN-ul viral; acumularea de mai multe astfel de erori în ARN</w:t>
      </w:r>
      <w:r w:rsidR="008158FD" w:rsidRPr="004D2FCE">
        <w:rPr>
          <w:rFonts w:ascii="Times New Roman" w:eastAsia="Times New Roman" w:hAnsi="Times New Roman" w:cs="Times New Roman"/>
          <w:sz w:val="24"/>
          <w:szCs w:val="24"/>
          <w:bdr w:val="none" w:sz="0" w:space="0" w:color="auto" w:frame="1"/>
          <w:shd w:val="clear" w:color="auto" w:fill="FFFFFF"/>
        </w:rPr>
        <w:t>-ul viral</w:t>
      </w:r>
      <w:r w:rsidR="00022853" w:rsidRPr="004D2FCE">
        <w:rPr>
          <w:rFonts w:ascii="Times New Roman" w:eastAsia="Times New Roman" w:hAnsi="Times New Roman" w:cs="Times New Roman"/>
          <w:sz w:val="24"/>
          <w:szCs w:val="24"/>
          <w:bdr w:val="none" w:sz="0" w:space="0" w:color="auto" w:frame="1"/>
          <w:shd w:val="clear" w:color="auto" w:fill="FFFFFF"/>
        </w:rPr>
        <w:t xml:space="preserve"> blochează replicarea virală. Există date care susțin un beneficiu în cazul administrării precoce, în primele cinci zile de boală, la pacienți cu factori de risc pentru evoluție severă, reducând semnificativ riscul de agravare și de deces. De asemeni, reduce durata perioadei de replicare virală.</w:t>
      </w:r>
    </w:p>
    <w:p w14:paraId="3CBC33DF" w14:textId="77777777" w:rsidR="005033A4" w:rsidRPr="004D2FCE"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B1ECEB3" w14:textId="118B5F45" w:rsidR="005033A4"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Dozele folosite au fost de 800 mg la 12 ore timp de 5 zile, administrat oral. Nu a fost utilizat la copii și nu se administrează la gravide; pe durata tratamentului și cel puțin patru zile după ultima doză administrată la paciente din grupe de vârstă fertilă este necesară utilizarea de mijloace de contracepție.</w:t>
      </w:r>
    </w:p>
    <w:p w14:paraId="2AD29796" w14:textId="77777777" w:rsidR="00E71CE1" w:rsidRPr="004D2FCE" w:rsidRDefault="00E71CE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FE8FACC" w14:textId="3D4A0EF0" w:rsidR="00F732E4" w:rsidRPr="004D2FCE" w:rsidRDefault="008158FD"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Conform ghidurilor internaționale actuale</w:t>
      </w:r>
      <w:r w:rsidR="0091269C" w:rsidRPr="004D2FCE">
        <w:rPr>
          <w:rFonts w:ascii="Times New Roman" w:eastAsia="Times New Roman" w:hAnsi="Times New Roman" w:cs="Times New Roman"/>
          <w:sz w:val="24"/>
          <w:szCs w:val="24"/>
          <w:bdr w:val="none" w:sz="0" w:space="0" w:color="auto" w:frame="1"/>
          <w:shd w:val="clear" w:color="auto" w:fill="FFFFFF"/>
        </w:rPr>
        <w:t xml:space="preserve"> (mai 2023)</w:t>
      </w:r>
      <w:r w:rsidRPr="004D2FCE">
        <w:rPr>
          <w:rFonts w:ascii="Times New Roman" w:eastAsia="Times New Roman" w:hAnsi="Times New Roman" w:cs="Times New Roman"/>
          <w:sz w:val="24"/>
          <w:szCs w:val="24"/>
          <w:bdr w:val="none" w:sz="0" w:space="0" w:color="auto" w:frame="1"/>
          <w:shd w:val="clear" w:color="auto" w:fill="FFFFFF"/>
        </w:rPr>
        <w:t xml:space="preserve">, </w:t>
      </w:r>
      <w:r w:rsidR="0091269C" w:rsidRPr="004D2FCE">
        <w:rPr>
          <w:rFonts w:ascii="Times New Roman" w:eastAsia="Times New Roman" w:hAnsi="Times New Roman" w:cs="Times New Roman"/>
          <w:sz w:val="24"/>
          <w:szCs w:val="24"/>
          <w:bdr w:val="none" w:sz="0" w:space="0" w:color="auto" w:frame="1"/>
          <w:shd w:val="clear" w:color="auto" w:fill="FFFFFF"/>
        </w:rPr>
        <w:t xml:space="preserve">pentru pacienții nespitalizați cu forme </w:t>
      </w:r>
      <w:r w:rsidR="00C47941" w:rsidRPr="004D2FCE">
        <w:rPr>
          <w:rFonts w:ascii="Times New Roman" w:eastAsia="Times New Roman" w:hAnsi="Times New Roman" w:cs="Times New Roman"/>
          <w:sz w:val="24"/>
          <w:szCs w:val="24"/>
          <w:bdr w:val="none" w:sz="0" w:space="0" w:color="auto" w:frame="1"/>
          <w:shd w:val="clear" w:color="auto" w:fill="FFFFFF"/>
        </w:rPr>
        <w:t xml:space="preserve">clinice </w:t>
      </w:r>
      <w:r w:rsidR="0091269C" w:rsidRPr="004D2FCE">
        <w:rPr>
          <w:rFonts w:ascii="Times New Roman" w:eastAsia="Times New Roman" w:hAnsi="Times New Roman" w:cs="Times New Roman"/>
          <w:sz w:val="24"/>
          <w:szCs w:val="24"/>
          <w:bdr w:val="none" w:sz="0" w:space="0" w:color="auto" w:frame="1"/>
          <w:shd w:val="clear" w:color="auto" w:fill="FFFFFF"/>
        </w:rPr>
        <w:t xml:space="preserve">ușoare </w:t>
      </w:r>
      <w:r w:rsidR="00C47941" w:rsidRPr="004D2FCE">
        <w:rPr>
          <w:rFonts w:ascii="Times New Roman" w:eastAsia="Times New Roman" w:hAnsi="Times New Roman" w:cs="Times New Roman"/>
          <w:sz w:val="24"/>
          <w:szCs w:val="24"/>
          <w:bdr w:val="none" w:sz="0" w:space="0" w:color="auto" w:frame="1"/>
          <w:shd w:val="clear" w:color="auto" w:fill="FFFFFF"/>
        </w:rPr>
        <w:t xml:space="preserve">până la forme clinice medii de </w:t>
      </w:r>
      <w:r w:rsidR="0091269C" w:rsidRPr="004D2FCE">
        <w:rPr>
          <w:rFonts w:ascii="Times New Roman" w:eastAsia="Times New Roman" w:hAnsi="Times New Roman" w:cs="Times New Roman"/>
          <w:sz w:val="24"/>
          <w:szCs w:val="24"/>
          <w:bdr w:val="none" w:sz="0" w:space="0" w:color="auto" w:frame="1"/>
          <w:shd w:val="clear" w:color="auto" w:fill="FFFFFF"/>
        </w:rPr>
        <w:t xml:space="preserve">COVID19 și cu factori de risc pentru evoluția spre forme severe -  </w:t>
      </w:r>
      <w:r w:rsidRPr="004D2FCE">
        <w:rPr>
          <w:rFonts w:ascii="Times New Roman" w:eastAsia="Times New Roman" w:hAnsi="Times New Roman" w:cs="Times New Roman"/>
          <w:sz w:val="24"/>
          <w:szCs w:val="24"/>
          <w:bdr w:val="none" w:sz="0" w:space="0" w:color="auto" w:frame="1"/>
          <w:shd w:val="clear" w:color="auto" w:fill="FFFFFF"/>
        </w:rPr>
        <w:t>m</w:t>
      </w:r>
      <w:r w:rsidR="00F732E4" w:rsidRPr="004D2FCE">
        <w:rPr>
          <w:rFonts w:ascii="Times New Roman" w:eastAsia="Times New Roman" w:hAnsi="Times New Roman" w:cs="Times New Roman"/>
          <w:sz w:val="24"/>
          <w:szCs w:val="24"/>
          <w:bdr w:val="none" w:sz="0" w:space="0" w:color="auto" w:frame="1"/>
          <w:shd w:val="clear" w:color="auto" w:fill="FFFFFF"/>
        </w:rPr>
        <w:t>olnupiravir</w:t>
      </w:r>
      <w:r w:rsidRPr="004D2FCE">
        <w:rPr>
          <w:rFonts w:ascii="Times New Roman" w:eastAsia="Times New Roman" w:hAnsi="Times New Roman" w:cs="Times New Roman"/>
          <w:sz w:val="24"/>
          <w:szCs w:val="24"/>
          <w:bdr w:val="none" w:sz="0" w:space="0" w:color="auto" w:frame="1"/>
          <w:shd w:val="clear" w:color="auto" w:fill="FFFFFF"/>
        </w:rPr>
        <w:t>ul</w:t>
      </w:r>
      <w:r w:rsidR="00600126" w:rsidRPr="004D2FCE">
        <w:rPr>
          <w:rFonts w:ascii="Times New Roman" w:eastAsia="Times New Roman" w:hAnsi="Times New Roman" w:cs="Times New Roman"/>
          <w:sz w:val="24"/>
          <w:szCs w:val="24"/>
          <w:bdr w:val="none" w:sz="0" w:space="0" w:color="auto" w:frame="1"/>
          <w:shd w:val="clear" w:color="auto" w:fill="FFFFFF"/>
        </w:rPr>
        <w:t xml:space="preserve"> constituie o alternativă</w:t>
      </w:r>
      <w:r w:rsidR="00F732E4" w:rsidRPr="004D2FCE">
        <w:rPr>
          <w:rFonts w:ascii="Times New Roman" w:eastAsia="Times New Roman" w:hAnsi="Times New Roman" w:cs="Times New Roman"/>
          <w:sz w:val="24"/>
          <w:szCs w:val="24"/>
          <w:bdr w:val="none" w:sz="0" w:space="0" w:color="auto" w:frame="1"/>
          <w:shd w:val="clear" w:color="auto" w:fill="FFFFFF"/>
        </w:rPr>
        <w:t xml:space="preserve"> terape</w:t>
      </w:r>
      <w:r w:rsidR="00600126" w:rsidRPr="004D2FCE">
        <w:rPr>
          <w:rFonts w:ascii="Times New Roman" w:eastAsia="Times New Roman" w:hAnsi="Times New Roman" w:cs="Times New Roman"/>
          <w:sz w:val="24"/>
          <w:szCs w:val="24"/>
          <w:bdr w:val="none" w:sz="0" w:space="0" w:color="auto" w:frame="1"/>
          <w:shd w:val="clear" w:color="auto" w:fill="FFFFFF"/>
        </w:rPr>
        <w:t>utică</w:t>
      </w:r>
      <w:r w:rsidRPr="004D2FCE">
        <w:rPr>
          <w:rFonts w:ascii="Times New Roman" w:eastAsia="Times New Roman" w:hAnsi="Times New Roman" w:cs="Times New Roman"/>
          <w:sz w:val="24"/>
          <w:szCs w:val="24"/>
          <w:bdr w:val="none" w:sz="0" w:space="0" w:color="auto" w:frame="1"/>
          <w:shd w:val="clear" w:color="auto" w:fill="FFFFFF"/>
        </w:rPr>
        <w:t xml:space="preserve"> </w:t>
      </w:r>
      <w:r w:rsidR="00600126" w:rsidRPr="004D2FCE">
        <w:rPr>
          <w:rFonts w:ascii="Times New Roman" w:eastAsia="Times New Roman" w:hAnsi="Times New Roman" w:cs="Times New Roman"/>
          <w:sz w:val="24"/>
          <w:szCs w:val="24"/>
          <w:bdr w:val="none" w:sz="0" w:space="0" w:color="auto" w:frame="1"/>
          <w:shd w:val="clear" w:color="auto" w:fill="FFFFFF"/>
        </w:rPr>
        <w:t>la medicaț</w:t>
      </w:r>
      <w:r w:rsidRPr="004D2FCE">
        <w:rPr>
          <w:rFonts w:ascii="Times New Roman" w:eastAsia="Times New Roman" w:hAnsi="Times New Roman" w:cs="Times New Roman"/>
          <w:sz w:val="24"/>
          <w:szCs w:val="24"/>
          <w:bdr w:val="none" w:sz="0" w:space="0" w:color="auto" w:frame="1"/>
          <w:shd w:val="clear" w:color="auto" w:fill="FFFFFF"/>
        </w:rPr>
        <w:t>ia</w:t>
      </w:r>
      <w:r w:rsidR="00600126" w:rsidRPr="004D2FCE">
        <w:rPr>
          <w:rFonts w:ascii="Times New Roman" w:eastAsia="Times New Roman" w:hAnsi="Times New Roman" w:cs="Times New Roman"/>
          <w:sz w:val="24"/>
          <w:szCs w:val="24"/>
          <w:bdr w:val="none" w:sz="0" w:space="0" w:color="auto" w:frame="1"/>
          <w:shd w:val="clear" w:color="auto" w:fill="FFFFFF"/>
        </w:rPr>
        <w:t xml:space="preserve"> antivirala orală</w:t>
      </w:r>
      <w:r w:rsidRPr="004D2FCE">
        <w:rPr>
          <w:rFonts w:ascii="Times New Roman" w:eastAsia="Times New Roman" w:hAnsi="Times New Roman" w:cs="Times New Roman"/>
          <w:sz w:val="24"/>
          <w:szCs w:val="24"/>
          <w:bdr w:val="none" w:sz="0" w:space="0" w:color="auto" w:frame="1"/>
          <w:shd w:val="clear" w:color="auto" w:fill="FFFFFF"/>
        </w:rPr>
        <w:t xml:space="preserve"> de prima alegere</w:t>
      </w:r>
      <w:r w:rsidR="00600126" w:rsidRPr="004D2FCE">
        <w:rPr>
          <w:rFonts w:ascii="Times New Roman" w:eastAsia="Times New Roman" w:hAnsi="Times New Roman" w:cs="Times New Roman"/>
          <w:sz w:val="24"/>
          <w:szCs w:val="24"/>
          <w:bdr w:val="none" w:sz="0" w:space="0" w:color="auto" w:frame="1"/>
          <w:shd w:val="clear" w:color="auto" w:fill="FFFFFF"/>
        </w:rPr>
        <w:t xml:space="preserve">, </w:t>
      </w:r>
      <w:r w:rsidR="0091269C" w:rsidRPr="004D2FCE">
        <w:rPr>
          <w:rFonts w:ascii="Times New Roman" w:eastAsia="Times New Roman" w:hAnsi="Times New Roman" w:cs="Times New Roman"/>
          <w:sz w:val="24"/>
          <w:szCs w:val="24"/>
          <w:bdr w:val="none" w:sz="0" w:space="0" w:color="auto" w:frame="1"/>
          <w:shd w:val="clear" w:color="auto" w:fill="FFFFFF"/>
        </w:rPr>
        <w:t xml:space="preserve">fiind recomandat atunci când medicația de primă alegere nu este disponibilă sau atunci când </w:t>
      </w:r>
      <w:r w:rsidR="00F732E4" w:rsidRPr="004D2FCE">
        <w:rPr>
          <w:rFonts w:ascii="Times New Roman" w:eastAsia="Times New Roman" w:hAnsi="Times New Roman" w:cs="Times New Roman"/>
          <w:sz w:val="24"/>
          <w:szCs w:val="24"/>
          <w:bdr w:val="none" w:sz="0" w:space="0" w:color="auto" w:frame="1"/>
          <w:shd w:val="clear" w:color="auto" w:fill="FFFFFF"/>
        </w:rPr>
        <w:t>pacien</w:t>
      </w:r>
      <w:r w:rsidR="0097754E" w:rsidRPr="004D2FCE">
        <w:rPr>
          <w:rFonts w:ascii="Times New Roman" w:eastAsia="Times New Roman" w:hAnsi="Times New Roman" w:cs="Times New Roman"/>
          <w:sz w:val="24"/>
          <w:szCs w:val="24"/>
          <w:bdr w:val="none" w:sz="0" w:space="0" w:color="auto" w:frame="1"/>
          <w:shd w:val="clear" w:color="auto" w:fill="FFFFFF"/>
        </w:rPr>
        <w:t>ț</w:t>
      </w:r>
      <w:r w:rsidR="00F732E4" w:rsidRPr="004D2FCE">
        <w:rPr>
          <w:rFonts w:ascii="Times New Roman" w:eastAsia="Times New Roman" w:hAnsi="Times New Roman" w:cs="Times New Roman"/>
          <w:sz w:val="24"/>
          <w:szCs w:val="24"/>
          <w:bdr w:val="none" w:sz="0" w:space="0" w:color="auto" w:frame="1"/>
          <w:shd w:val="clear" w:color="auto" w:fill="FFFFFF"/>
        </w:rPr>
        <w:t xml:space="preserve">ii </w:t>
      </w:r>
      <w:r w:rsidR="00F72EA8" w:rsidRPr="004D2FCE">
        <w:rPr>
          <w:rFonts w:ascii="Times New Roman" w:eastAsia="Times New Roman" w:hAnsi="Times New Roman" w:cs="Times New Roman"/>
          <w:sz w:val="24"/>
          <w:szCs w:val="24"/>
          <w:bdr w:val="none" w:sz="0" w:space="0" w:color="auto" w:frame="1"/>
          <w:shd w:val="clear" w:color="auto" w:fill="FFFFFF"/>
        </w:rPr>
        <w:t>a</w:t>
      </w:r>
      <w:r w:rsidR="00F732E4" w:rsidRPr="004D2FCE">
        <w:rPr>
          <w:rFonts w:ascii="Times New Roman" w:eastAsia="Times New Roman" w:hAnsi="Times New Roman" w:cs="Times New Roman"/>
          <w:sz w:val="24"/>
          <w:szCs w:val="24"/>
          <w:bdr w:val="none" w:sz="0" w:space="0" w:color="auto" w:frame="1"/>
          <w:shd w:val="clear" w:color="auto" w:fill="FFFFFF"/>
        </w:rPr>
        <w:t>u contraindica</w:t>
      </w:r>
      <w:r w:rsidR="0097754E" w:rsidRPr="004D2FCE">
        <w:rPr>
          <w:rFonts w:ascii="Times New Roman" w:eastAsia="Times New Roman" w:hAnsi="Times New Roman" w:cs="Times New Roman"/>
          <w:sz w:val="24"/>
          <w:szCs w:val="24"/>
          <w:bdr w:val="none" w:sz="0" w:space="0" w:color="auto" w:frame="1"/>
          <w:shd w:val="clear" w:color="auto" w:fill="FFFFFF"/>
        </w:rPr>
        <w:t>ț</w:t>
      </w:r>
      <w:r w:rsidR="00F732E4" w:rsidRPr="004D2FCE">
        <w:rPr>
          <w:rFonts w:ascii="Times New Roman" w:eastAsia="Times New Roman" w:hAnsi="Times New Roman" w:cs="Times New Roman"/>
          <w:sz w:val="24"/>
          <w:szCs w:val="24"/>
          <w:bdr w:val="none" w:sz="0" w:space="0" w:color="auto" w:frame="1"/>
          <w:shd w:val="clear" w:color="auto" w:fill="FFFFFF"/>
        </w:rPr>
        <w:t xml:space="preserve">ii </w:t>
      </w:r>
      <w:r w:rsidR="0091269C" w:rsidRPr="004D2FCE">
        <w:rPr>
          <w:rFonts w:ascii="Times New Roman" w:eastAsia="Times New Roman" w:hAnsi="Times New Roman" w:cs="Times New Roman"/>
          <w:sz w:val="24"/>
          <w:szCs w:val="24"/>
          <w:bdr w:val="none" w:sz="0" w:space="0" w:color="auto" w:frame="1"/>
          <w:shd w:val="clear" w:color="auto" w:fill="FFFFFF"/>
        </w:rPr>
        <w:t>la</w:t>
      </w:r>
      <w:r w:rsidR="00BD0589" w:rsidRPr="004D2FCE">
        <w:rPr>
          <w:rFonts w:ascii="Times New Roman" w:eastAsia="Times New Roman" w:hAnsi="Times New Roman" w:cs="Times New Roman"/>
          <w:sz w:val="24"/>
          <w:szCs w:val="24"/>
          <w:bdr w:val="none" w:sz="0" w:space="0" w:color="auto" w:frame="1"/>
          <w:shd w:val="clear" w:color="auto" w:fill="FFFFFF"/>
        </w:rPr>
        <w:t xml:space="preserve"> medicația de primă alegere</w:t>
      </w:r>
      <w:r w:rsidR="00F732E4" w:rsidRPr="004D2FCE">
        <w:rPr>
          <w:rFonts w:ascii="Times New Roman" w:eastAsia="Times New Roman" w:hAnsi="Times New Roman" w:cs="Times New Roman"/>
          <w:sz w:val="24"/>
          <w:szCs w:val="24"/>
          <w:bdr w:val="none" w:sz="0" w:space="0" w:color="auto" w:frame="1"/>
          <w:shd w:val="clear" w:color="auto" w:fill="FFFFFF"/>
        </w:rPr>
        <w:t xml:space="preserve">. </w:t>
      </w:r>
    </w:p>
    <w:p w14:paraId="159C44E3" w14:textId="77777777" w:rsidR="005033A4" w:rsidRPr="004D2FCE"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F6A09DF" w14:textId="77777777"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CE448BB"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CC70ED2"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B903C85"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76E96ED"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8A0EF6A"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10DB650"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617D7C2"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BBCE5E6"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8CC8545"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921AB6A"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77A3041" w14:textId="77777777" w:rsidR="004C6F63" w:rsidRPr="004D2FCE" w:rsidRDefault="004C6F63"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9B5682A" w14:textId="77777777" w:rsidR="005569A2" w:rsidRPr="004D2FCE" w:rsidRDefault="005569A2"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A7328D0"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lastRenderedPageBreak/>
        <w:t>Tabelul 1. Medicație cu efect antiviral propusă pentru tratamentul COVID-19</w:t>
      </w:r>
    </w:p>
    <w:p w14:paraId="5CF153DB" w14:textId="77777777" w:rsidR="005033A4" w:rsidRPr="004D2FCE"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W w:w="9982"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760"/>
        <w:gridCol w:w="1189"/>
        <w:gridCol w:w="1669"/>
        <w:gridCol w:w="340"/>
        <w:gridCol w:w="1260"/>
        <w:gridCol w:w="1910"/>
        <w:gridCol w:w="1854"/>
      </w:tblGrid>
      <w:tr w:rsidR="004D2FCE" w:rsidRPr="004D2FCE" w14:paraId="713E2E9F" w14:textId="77777777" w:rsidTr="00C349F2">
        <w:tc>
          <w:tcPr>
            <w:tcW w:w="1760" w:type="dxa"/>
            <w:tcBorders>
              <w:top w:val="single" w:sz="6" w:space="0" w:color="000000"/>
              <w:left w:val="single" w:sz="6" w:space="0" w:color="000000"/>
              <w:bottom w:val="single" w:sz="6" w:space="0" w:color="000000"/>
              <w:right w:val="single" w:sz="6" w:space="0" w:color="000000"/>
            </w:tcBorders>
            <w:hideMark/>
          </w:tcPr>
          <w:p w14:paraId="724FC216" w14:textId="77777777" w:rsidR="006E0C02" w:rsidRPr="004D2FCE" w:rsidRDefault="006E0C02" w:rsidP="006E0C02">
            <w:pPr>
              <w:spacing w:after="0"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Medicament</w:t>
            </w:r>
          </w:p>
        </w:tc>
        <w:tc>
          <w:tcPr>
            <w:tcW w:w="3198" w:type="dxa"/>
            <w:gridSpan w:val="3"/>
            <w:tcBorders>
              <w:top w:val="single" w:sz="6" w:space="0" w:color="000000"/>
              <w:left w:val="single" w:sz="6" w:space="0" w:color="000000"/>
              <w:bottom w:val="single" w:sz="6" w:space="0" w:color="000000"/>
              <w:right w:val="single" w:sz="6" w:space="0" w:color="000000"/>
            </w:tcBorders>
          </w:tcPr>
          <w:p w14:paraId="4C6E3322" w14:textId="5E125B17" w:rsidR="006E0C02" w:rsidRPr="004D2FCE" w:rsidRDefault="006E0C02" w:rsidP="006E0C02">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Nivelul recomandarii</w:t>
            </w:r>
          </w:p>
        </w:tc>
        <w:tc>
          <w:tcPr>
            <w:tcW w:w="1260" w:type="dxa"/>
            <w:tcBorders>
              <w:top w:val="single" w:sz="6" w:space="0" w:color="000000"/>
              <w:left w:val="single" w:sz="6" w:space="0" w:color="000000"/>
              <w:bottom w:val="single" w:sz="6" w:space="0" w:color="000000"/>
              <w:right w:val="single" w:sz="6" w:space="0" w:color="000000"/>
            </w:tcBorders>
          </w:tcPr>
          <w:p w14:paraId="17236032" w14:textId="6929B0C5" w:rsidR="006E0C02" w:rsidRPr="004D2FCE" w:rsidRDefault="006E0C02" w:rsidP="006E0C02">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Durată standard</w:t>
            </w:r>
          </w:p>
        </w:tc>
        <w:tc>
          <w:tcPr>
            <w:tcW w:w="1910" w:type="dxa"/>
            <w:tcBorders>
              <w:top w:val="single" w:sz="6" w:space="0" w:color="000000"/>
              <w:left w:val="single" w:sz="6" w:space="0" w:color="000000"/>
              <w:bottom w:val="single" w:sz="6" w:space="0" w:color="000000"/>
              <w:right w:val="single" w:sz="6" w:space="0" w:color="000000"/>
            </w:tcBorders>
            <w:hideMark/>
          </w:tcPr>
          <w:p w14:paraId="78D5B841" w14:textId="6CC9DCAA" w:rsidR="006E0C02" w:rsidRPr="004D2FCE" w:rsidRDefault="006E0C02" w:rsidP="006E0C02">
            <w:pPr>
              <w:spacing w:after="0"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Doze</w:t>
            </w:r>
          </w:p>
        </w:tc>
        <w:tc>
          <w:tcPr>
            <w:tcW w:w="1854" w:type="dxa"/>
            <w:tcBorders>
              <w:top w:val="single" w:sz="6" w:space="0" w:color="000000"/>
              <w:left w:val="single" w:sz="6" w:space="0" w:color="000000"/>
              <w:bottom w:val="single" w:sz="6" w:space="0" w:color="000000"/>
              <w:right w:val="single" w:sz="6" w:space="0" w:color="000000"/>
            </w:tcBorders>
            <w:hideMark/>
          </w:tcPr>
          <w:p w14:paraId="4328046A" w14:textId="77777777" w:rsidR="006E0C02" w:rsidRPr="004D2FCE" w:rsidRDefault="006E0C02" w:rsidP="006E0C02">
            <w:pPr>
              <w:spacing w:after="0"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Reacții adverse frecvente</w:t>
            </w:r>
          </w:p>
        </w:tc>
      </w:tr>
      <w:tr w:rsidR="004D2FCE" w:rsidRPr="004D2FCE" w14:paraId="0F52054B" w14:textId="77777777" w:rsidTr="00C349F2">
        <w:tc>
          <w:tcPr>
            <w:tcW w:w="1760" w:type="dxa"/>
            <w:tcBorders>
              <w:top w:val="single" w:sz="6" w:space="0" w:color="000000"/>
              <w:left w:val="single" w:sz="6" w:space="0" w:color="000000"/>
              <w:bottom w:val="single" w:sz="6" w:space="0" w:color="000000"/>
              <w:right w:val="single" w:sz="6" w:space="0" w:color="000000"/>
            </w:tcBorders>
            <w:hideMark/>
          </w:tcPr>
          <w:p w14:paraId="798F7AFA" w14:textId="77777777" w:rsidR="006E0C02" w:rsidRPr="004D2FCE" w:rsidRDefault="006E0C02" w:rsidP="006E0C02">
            <w:pPr>
              <w:spacing w:after="0" w:line="240" w:lineRule="auto"/>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Remdesivir</w:t>
            </w:r>
          </w:p>
        </w:tc>
        <w:tc>
          <w:tcPr>
            <w:tcW w:w="3198" w:type="dxa"/>
            <w:gridSpan w:val="3"/>
            <w:tcBorders>
              <w:top w:val="single" w:sz="6" w:space="0" w:color="000000"/>
              <w:left w:val="single" w:sz="6" w:space="0" w:color="000000"/>
              <w:bottom w:val="single" w:sz="6" w:space="0" w:color="000000"/>
              <w:right w:val="single" w:sz="6" w:space="0" w:color="000000"/>
            </w:tcBorders>
          </w:tcPr>
          <w:p w14:paraId="78A17CEC" w14:textId="77777777" w:rsidR="006E0C02" w:rsidRPr="004D2FCE" w:rsidRDefault="006E0C02" w:rsidP="006E0C02">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De primă alegere pentru pacienții:</w:t>
            </w:r>
          </w:p>
          <w:p w14:paraId="33E60B85" w14:textId="77777777" w:rsidR="006E0C02" w:rsidRPr="004D2FCE" w:rsidRDefault="006E0C02" w:rsidP="006E0C02">
            <w:pPr>
              <w:spacing w:after="0" w:line="240" w:lineRule="auto"/>
              <w:rPr>
                <w:rFonts w:ascii="Times New Roman" w:eastAsia="Times New Roman" w:hAnsi="Times New Roman" w:cs="Times New Roman"/>
                <w:iCs/>
                <w:sz w:val="20"/>
                <w:szCs w:val="20"/>
                <w:lang w:eastAsia="ro-RO"/>
              </w:rPr>
            </w:pPr>
          </w:p>
          <w:p w14:paraId="6A38D1E3" w14:textId="5178ED1B" w:rsidR="006E0C02" w:rsidRPr="004D2FCE" w:rsidRDefault="006E0C02" w:rsidP="006E0C02">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 spitalizați cu forme severe sau critice</w:t>
            </w:r>
            <w:r w:rsidR="004062DE" w:rsidRPr="004D2FCE">
              <w:rPr>
                <w:rFonts w:ascii="Times New Roman" w:eastAsia="Times New Roman" w:hAnsi="Times New Roman" w:cs="Times New Roman"/>
                <w:iCs/>
                <w:sz w:val="20"/>
                <w:szCs w:val="20"/>
                <w:lang w:eastAsia="ro-RO"/>
              </w:rPr>
              <w:t xml:space="preserve"> (pneumonie cu necesar de oxigenoterapie)</w:t>
            </w:r>
          </w:p>
          <w:p w14:paraId="707D4C7B" w14:textId="77777777" w:rsidR="006E0C02" w:rsidRPr="004D2FCE" w:rsidRDefault="006E0C02" w:rsidP="006E0C02">
            <w:pPr>
              <w:spacing w:after="0" w:line="240" w:lineRule="auto"/>
              <w:rPr>
                <w:rFonts w:ascii="Times New Roman" w:eastAsia="Times New Roman" w:hAnsi="Times New Roman" w:cs="Times New Roman"/>
                <w:iCs/>
                <w:sz w:val="20"/>
                <w:szCs w:val="20"/>
                <w:lang w:eastAsia="ro-RO"/>
              </w:rPr>
            </w:pPr>
          </w:p>
          <w:p w14:paraId="5832D06B" w14:textId="77777777" w:rsidR="006E0C02" w:rsidRPr="004D2FCE" w:rsidRDefault="006E0C02" w:rsidP="006E0C02">
            <w:pPr>
              <w:spacing w:after="0" w:line="240" w:lineRule="auto"/>
              <w:rPr>
                <w:rFonts w:ascii="Times New Roman" w:eastAsia="Times New Roman" w:hAnsi="Times New Roman" w:cs="Times New Roman"/>
                <w:iCs/>
                <w:sz w:val="20"/>
                <w:szCs w:val="20"/>
                <w:lang w:eastAsia="ro-RO"/>
              </w:rPr>
            </w:pPr>
          </w:p>
          <w:p w14:paraId="0CA0C1E9" w14:textId="77777777" w:rsidR="00B52B53" w:rsidRPr="004D2FCE" w:rsidRDefault="00B52B53" w:rsidP="006E0C02">
            <w:pPr>
              <w:spacing w:after="0" w:line="240" w:lineRule="auto"/>
              <w:rPr>
                <w:rFonts w:ascii="Times New Roman" w:eastAsia="Times New Roman" w:hAnsi="Times New Roman" w:cs="Times New Roman"/>
                <w:iCs/>
                <w:sz w:val="20"/>
                <w:szCs w:val="20"/>
                <w:lang w:eastAsia="ro-RO"/>
              </w:rPr>
            </w:pPr>
          </w:p>
          <w:p w14:paraId="0464AD7A" w14:textId="5D17714D" w:rsidR="006E0C02" w:rsidRPr="004D2FCE" w:rsidRDefault="006E0C02" w:rsidP="00A60C67">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 xml:space="preserve">- spitalizati cu forme usoare sau medii </w:t>
            </w:r>
            <w:r w:rsidR="00A60C67" w:rsidRPr="004D2FCE">
              <w:rPr>
                <w:rFonts w:ascii="Times New Roman" w:eastAsia="Times New Roman" w:hAnsi="Times New Roman" w:cs="Times New Roman"/>
                <w:iCs/>
                <w:sz w:val="20"/>
                <w:szCs w:val="20"/>
                <w:lang w:eastAsia="ro-RO"/>
              </w:rPr>
              <w:t xml:space="preserve">de boală, care au </w:t>
            </w:r>
            <w:r w:rsidRPr="004D2FCE">
              <w:rPr>
                <w:rFonts w:ascii="Times New Roman" w:eastAsia="Times New Roman" w:hAnsi="Times New Roman" w:cs="Times New Roman"/>
                <w:iCs/>
                <w:sz w:val="20"/>
                <w:szCs w:val="20"/>
                <w:lang w:eastAsia="ro-RO"/>
              </w:rPr>
              <w:t>factori de risc pentru evolutia spre forme severe</w:t>
            </w:r>
            <w:r w:rsidR="004062DE" w:rsidRPr="004D2FCE">
              <w:rPr>
                <w:rFonts w:ascii="Times New Roman" w:eastAsia="Times New Roman" w:hAnsi="Times New Roman" w:cs="Times New Roman"/>
                <w:iCs/>
                <w:sz w:val="20"/>
                <w:szCs w:val="20"/>
                <w:lang w:eastAsia="ro-RO"/>
              </w:rPr>
              <w:t>, fără necesar de oxigenoterapie</w:t>
            </w:r>
          </w:p>
        </w:tc>
        <w:tc>
          <w:tcPr>
            <w:tcW w:w="1260" w:type="dxa"/>
            <w:tcBorders>
              <w:top w:val="single" w:sz="6" w:space="0" w:color="000000"/>
              <w:left w:val="single" w:sz="6" w:space="0" w:color="000000"/>
              <w:bottom w:val="single" w:sz="6" w:space="0" w:color="000000"/>
              <w:right w:val="single" w:sz="6" w:space="0" w:color="000000"/>
            </w:tcBorders>
          </w:tcPr>
          <w:p w14:paraId="65C8FB5F" w14:textId="77777777" w:rsidR="006E0C02" w:rsidRPr="004D2FCE" w:rsidRDefault="006E0C02" w:rsidP="006E0C02">
            <w:pPr>
              <w:spacing w:after="0" w:line="240" w:lineRule="auto"/>
              <w:rPr>
                <w:rFonts w:ascii="Times New Roman" w:eastAsia="Times New Roman" w:hAnsi="Times New Roman" w:cs="Times New Roman"/>
                <w:iCs/>
                <w:sz w:val="20"/>
                <w:szCs w:val="20"/>
                <w:lang w:eastAsia="ro-RO"/>
              </w:rPr>
            </w:pPr>
          </w:p>
          <w:p w14:paraId="0C56C818" w14:textId="77777777" w:rsidR="006E0C02" w:rsidRPr="004D2FCE" w:rsidRDefault="006E0C02" w:rsidP="006E0C02">
            <w:pPr>
              <w:spacing w:after="0" w:line="240" w:lineRule="auto"/>
              <w:rPr>
                <w:rFonts w:ascii="Times New Roman" w:eastAsia="Times New Roman" w:hAnsi="Times New Roman" w:cs="Times New Roman"/>
                <w:iCs/>
                <w:sz w:val="20"/>
                <w:szCs w:val="20"/>
                <w:lang w:eastAsia="ro-RO"/>
              </w:rPr>
            </w:pPr>
          </w:p>
          <w:p w14:paraId="53134ADB" w14:textId="77777777" w:rsidR="006E0C02" w:rsidRPr="004D2FCE" w:rsidRDefault="006E0C02" w:rsidP="006E0C02">
            <w:pPr>
              <w:spacing w:after="0" w:line="240" w:lineRule="auto"/>
              <w:rPr>
                <w:rFonts w:ascii="Times New Roman" w:eastAsia="Times New Roman" w:hAnsi="Times New Roman" w:cs="Times New Roman"/>
                <w:iCs/>
                <w:sz w:val="20"/>
                <w:szCs w:val="20"/>
                <w:lang w:eastAsia="ro-RO"/>
              </w:rPr>
            </w:pPr>
          </w:p>
          <w:p w14:paraId="7F6F5492" w14:textId="02505021" w:rsidR="006E0C02" w:rsidRPr="004D2FCE" w:rsidRDefault="006E0C02" w:rsidP="004062DE">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 xml:space="preserve">5 </w:t>
            </w:r>
            <w:r w:rsidR="004062DE" w:rsidRPr="004D2FCE">
              <w:rPr>
                <w:rFonts w:ascii="Times New Roman" w:eastAsia="Times New Roman" w:hAnsi="Times New Roman" w:cs="Times New Roman"/>
                <w:iCs/>
                <w:sz w:val="20"/>
                <w:szCs w:val="20"/>
                <w:lang w:eastAsia="ro-RO"/>
              </w:rPr>
              <w:t xml:space="preserve">-10 </w:t>
            </w:r>
            <w:r w:rsidRPr="004D2FCE">
              <w:rPr>
                <w:rFonts w:ascii="Times New Roman" w:eastAsia="Times New Roman" w:hAnsi="Times New Roman" w:cs="Times New Roman"/>
                <w:iCs/>
                <w:sz w:val="20"/>
                <w:szCs w:val="20"/>
                <w:lang w:eastAsia="ro-RO"/>
              </w:rPr>
              <w:t xml:space="preserve">zile </w:t>
            </w:r>
          </w:p>
          <w:p w14:paraId="6D0C7187" w14:textId="77777777" w:rsidR="006E0C02" w:rsidRPr="004D2FCE" w:rsidRDefault="006E0C02" w:rsidP="006E0C02">
            <w:pPr>
              <w:spacing w:after="0" w:line="240" w:lineRule="auto"/>
              <w:rPr>
                <w:rFonts w:ascii="Times New Roman" w:eastAsia="Times New Roman" w:hAnsi="Times New Roman" w:cs="Times New Roman"/>
                <w:sz w:val="20"/>
                <w:szCs w:val="20"/>
                <w:lang w:eastAsia="ro-RO"/>
              </w:rPr>
            </w:pPr>
          </w:p>
          <w:p w14:paraId="5B9762BB" w14:textId="77777777" w:rsidR="004062DE" w:rsidRPr="004D2FCE" w:rsidRDefault="004062DE" w:rsidP="006E0C02">
            <w:pPr>
              <w:spacing w:after="0" w:line="240" w:lineRule="auto"/>
              <w:rPr>
                <w:rFonts w:ascii="Times New Roman" w:eastAsia="Times New Roman" w:hAnsi="Times New Roman" w:cs="Times New Roman"/>
                <w:iCs/>
                <w:sz w:val="20"/>
                <w:szCs w:val="20"/>
                <w:lang w:eastAsia="ro-RO"/>
              </w:rPr>
            </w:pPr>
          </w:p>
          <w:p w14:paraId="56FFBF55" w14:textId="77777777" w:rsidR="004062DE" w:rsidRPr="004D2FCE" w:rsidRDefault="004062DE" w:rsidP="006E0C02">
            <w:pPr>
              <w:spacing w:after="0" w:line="240" w:lineRule="auto"/>
              <w:rPr>
                <w:rFonts w:ascii="Times New Roman" w:eastAsia="Times New Roman" w:hAnsi="Times New Roman" w:cs="Times New Roman"/>
                <w:iCs/>
                <w:sz w:val="20"/>
                <w:szCs w:val="20"/>
                <w:lang w:eastAsia="ro-RO"/>
              </w:rPr>
            </w:pPr>
          </w:p>
          <w:p w14:paraId="5F6DFAAE" w14:textId="77777777" w:rsidR="004062DE" w:rsidRPr="004D2FCE" w:rsidRDefault="004062DE" w:rsidP="006E0C02">
            <w:pPr>
              <w:spacing w:after="0" w:line="240" w:lineRule="auto"/>
              <w:rPr>
                <w:rFonts w:ascii="Times New Roman" w:eastAsia="Times New Roman" w:hAnsi="Times New Roman" w:cs="Times New Roman"/>
                <w:iCs/>
                <w:sz w:val="20"/>
                <w:szCs w:val="20"/>
                <w:lang w:eastAsia="ro-RO"/>
              </w:rPr>
            </w:pPr>
          </w:p>
          <w:p w14:paraId="640A0A5E" w14:textId="77777777" w:rsidR="004062DE" w:rsidRPr="004D2FCE" w:rsidRDefault="004062DE" w:rsidP="006E0C02">
            <w:pPr>
              <w:spacing w:after="0" w:line="240" w:lineRule="auto"/>
              <w:rPr>
                <w:rFonts w:ascii="Times New Roman" w:eastAsia="Times New Roman" w:hAnsi="Times New Roman" w:cs="Times New Roman"/>
                <w:iCs/>
                <w:sz w:val="20"/>
                <w:szCs w:val="20"/>
                <w:lang w:eastAsia="ro-RO"/>
              </w:rPr>
            </w:pPr>
          </w:p>
          <w:p w14:paraId="615CEA30" w14:textId="77777777" w:rsidR="004062DE" w:rsidRPr="004D2FCE" w:rsidRDefault="004062DE" w:rsidP="006E0C02">
            <w:pPr>
              <w:spacing w:after="0" w:line="240" w:lineRule="auto"/>
              <w:rPr>
                <w:rFonts w:ascii="Times New Roman" w:eastAsia="Times New Roman" w:hAnsi="Times New Roman" w:cs="Times New Roman"/>
                <w:iCs/>
                <w:sz w:val="20"/>
                <w:szCs w:val="20"/>
                <w:lang w:eastAsia="ro-RO"/>
              </w:rPr>
            </w:pPr>
          </w:p>
          <w:p w14:paraId="10013D11" w14:textId="77777777" w:rsidR="004062DE" w:rsidRPr="004D2FCE" w:rsidRDefault="004062DE" w:rsidP="006E0C02">
            <w:pPr>
              <w:spacing w:after="0" w:line="240" w:lineRule="auto"/>
              <w:rPr>
                <w:rFonts w:ascii="Times New Roman" w:eastAsia="Times New Roman" w:hAnsi="Times New Roman" w:cs="Times New Roman"/>
                <w:iCs/>
                <w:sz w:val="20"/>
                <w:szCs w:val="20"/>
                <w:lang w:eastAsia="ro-RO"/>
              </w:rPr>
            </w:pPr>
          </w:p>
          <w:p w14:paraId="116C3810" w14:textId="537D4EA9" w:rsidR="006E0C02" w:rsidRPr="004D2FCE" w:rsidRDefault="006E0C02" w:rsidP="006E0C02">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3 zile</w:t>
            </w:r>
          </w:p>
          <w:p w14:paraId="5BB7B79C" w14:textId="77777777" w:rsidR="006E0C02" w:rsidRPr="004D2FCE" w:rsidRDefault="006E0C02" w:rsidP="006E0C02">
            <w:pPr>
              <w:spacing w:after="0" w:line="240" w:lineRule="auto"/>
              <w:rPr>
                <w:rFonts w:ascii="Times New Roman" w:eastAsia="Times New Roman" w:hAnsi="Times New Roman" w:cs="Times New Roman"/>
                <w:iCs/>
                <w:sz w:val="20"/>
                <w:szCs w:val="20"/>
                <w:lang w:eastAsia="ro-RO"/>
              </w:rPr>
            </w:pPr>
          </w:p>
        </w:tc>
        <w:tc>
          <w:tcPr>
            <w:tcW w:w="1910" w:type="dxa"/>
            <w:tcBorders>
              <w:top w:val="single" w:sz="6" w:space="0" w:color="000000"/>
              <w:left w:val="single" w:sz="6" w:space="0" w:color="000000"/>
              <w:bottom w:val="single" w:sz="6" w:space="0" w:color="000000"/>
              <w:right w:val="single" w:sz="6" w:space="0" w:color="000000"/>
            </w:tcBorders>
            <w:hideMark/>
          </w:tcPr>
          <w:p w14:paraId="106DB458" w14:textId="09FBD04E" w:rsidR="006E0C02" w:rsidRPr="004D2FCE" w:rsidRDefault="00B52B53" w:rsidP="00B52B53">
            <w:pPr>
              <w:spacing w:after="0" w:line="240" w:lineRule="auto"/>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 xml:space="preserve">Adulți, copii si adolescenți cu greutatea peste 40 Kg : </w:t>
            </w:r>
            <w:r w:rsidR="006E0C02" w:rsidRPr="004D2FCE">
              <w:rPr>
                <w:rFonts w:ascii="Times New Roman" w:eastAsia="Times New Roman" w:hAnsi="Times New Roman" w:cs="Times New Roman"/>
                <w:iCs/>
                <w:sz w:val="20"/>
                <w:szCs w:val="20"/>
                <w:lang w:eastAsia="ro-RO"/>
              </w:rPr>
              <w:t>200 mg</w:t>
            </w:r>
            <w:r w:rsidRPr="004D2FCE">
              <w:rPr>
                <w:rFonts w:ascii="Times New Roman" w:eastAsia="Times New Roman" w:hAnsi="Times New Roman" w:cs="Times New Roman"/>
                <w:iCs/>
                <w:sz w:val="20"/>
                <w:szCs w:val="20"/>
                <w:lang w:eastAsia="ro-RO"/>
              </w:rPr>
              <w:t xml:space="preserve"> iv </w:t>
            </w:r>
            <w:r w:rsidR="006E0C02" w:rsidRPr="004D2FCE">
              <w:rPr>
                <w:rFonts w:ascii="Times New Roman" w:eastAsia="Times New Roman" w:hAnsi="Times New Roman" w:cs="Times New Roman"/>
                <w:iCs/>
                <w:sz w:val="20"/>
                <w:szCs w:val="20"/>
                <w:lang w:eastAsia="ro-RO"/>
              </w:rPr>
              <w:t>/zi în ziua 1, apoi 100 mg</w:t>
            </w:r>
            <w:r w:rsidRPr="004D2FCE">
              <w:rPr>
                <w:rFonts w:ascii="Times New Roman" w:eastAsia="Times New Roman" w:hAnsi="Times New Roman" w:cs="Times New Roman"/>
                <w:iCs/>
                <w:sz w:val="20"/>
                <w:szCs w:val="20"/>
                <w:lang w:eastAsia="ro-RO"/>
              </w:rPr>
              <w:t xml:space="preserve"> iv </w:t>
            </w:r>
            <w:r w:rsidR="006E0C02" w:rsidRPr="004D2FCE">
              <w:rPr>
                <w:rFonts w:ascii="Times New Roman" w:eastAsia="Times New Roman" w:hAnsi="Times New Roman" w:cs="Times New Roman"/>
                <w:iCs/>
                <w:sz w:val="20"/>
                <w:szCs w:val="20"/>
                <w:lang w:eastAsia="ro-RO"/>
              </w:rPr>
              <w:t>/zi</w:t>
            </w:r>
          </w:p>
          <w:p w14:paraId="15C28B75" w14:textId="77777777" w:rsidR="006E0C02" w:rsidRPr="004D2FCE" w:rsidRDefault="006E0C02" w:rsidP="00B52B53">
            <w:pPr>
              <w:spacing w:after="0" w:line="240" w:lineRule="auto"/>
              <w:rPr>
                <w:rFonts w:ascii="Times New Roman" w:eastAsia="Times New Roman" w:hAnsi="Times New Roman" w:cs="Times New Roman"/>
                <w:iCs/>
                <w:sz w:val="20"/>
                <w:szCs w:val="20"/>
                <w:lang w:eastAsia="ro-RO"/>
              </w:rPr>
            </w:pPr>
          </w:p>
          <w:p w14:paraId="67018ACA" w14:textId="77777777" w:rsidR="004062DE" w:rsidRPr="004D2FCE" w:rsidRDefault="004062DE" w:rsidP="00B52B53">
            <w:pPr>
              <w:spacing w:after="0" w:line="240" w:lineRule="auto"/>
              <w:rPr>
                <w:rFonts w:ascii="Times New Roman" w:eastAsia="Times New Roman" w:hAnsi="Times New Roman" w:cs="Times New Roman"/>
                <w:iCs/>
                <w:sz w:val="20"/>
                <w:szCs w:val="20"/>
                <w:lang w:eastAsia="ro-RO"/>
              </w:rPr>
            </w:pPr>
          </w:p>
          <w:p w14:paraId="5BAC609E" w14:textId="093F9346" w:rsidR="006E0C02" w:rsidRPr="004D2FCE" w:rsidRDefault="006E0C02" w:rsidP="00B52B53">
            <w:pPr>
              <w:spacing w:after="0" w:line="240" w:lineRule="auto"/>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 xml:space="preserve">Copii </w:t>
            </w:r>
            <w:r w:rsidR="00B52B53" w:rsidRPr="004D2FCE">
              <w:rPr>
                <w:rFonts w:ascii="Times New Roman" w:eastAsia="Times New Roman" w:hAnsi="Times New Roman" w:cs="Times New Roman"/>
                <w:iCs/>
                <w:sz w:val="20"/>
                <w:szCs w:val="20"/>
                <w:lang w:eastAsia="ro-RO"/>
              </w:rPr>
              <w:t xml:space="preserve">cu vârsta de cel puțin 4 săptămâni și greutatea </w:t>
            </w:r>
            <w:r w:rsidR="00B52B53" w:rsidRPr="004D2FCE">
              <w:rPr>
                <w:rFonts w:ascii="Times New Roman" w:eastAsia="Times New Roman" w:hAnsi="Times New Roman" w:cs="Times New Roman"/>
                <w:iCs/>
                <w:sz w:val="20"/>
                <w:szCs w:val="20"/>
                <w:u w:val="single"/>
                <w:lang w:val="en-US" w:eastAsia="ro-RO"/>
              </w:rPr>
              <w:t>&gt;</w:t>
            </w:r>
            <w:r w:rsidR="00B52B53" w:rsidRPr="004D2FCE">
              <w:rPr>
                <w:rFonts w:ascii="Times New Roman" w:eastAsia="Times New Roman" w:hAnsi="Times New Roman" w:cs="Times New Roman"/>
                <w:iCs/>
                <w:sz w:val="20"/>
                <w:szCs w:val="20"/>
                <w:lang w:val="en-US" w:eastAsia="ro-RO"/>
              </w:rPr>
              <w:t xml:space="preserve"> 3 kg, </w:t>
            </w:r>
            <w:proofErr w:type="spellStart"/>
            <w:r w:rsidR="00B52B53" w:rsidRPr="004D2FCE">
              <w:rPr>
                <w:rFonts w:ascii="Times New Roman" w:eastAsia="Times New Roman" w:hAnsi="Times New Roman" w:cs="Times New Roman"/>
                <w:iCs/>
                <w:sz w:val="20"/>
                <w:szCs w:val="20"/>
                <w:lang w:val="en-US" w:eastAsia="ro-RO"/>
              </w:rPr>
              <w:t>adolescenți</w:t>
            </w:r>
            <w:proofErr w:type="spellEnd"/>
            <w:r w:rsidR="00B52B53" w:rsidRPr="004D2FCE">
              <w:rPr>
                <w:rFonts w:ascii="Times New Roman" w:eastAsia="Times New Roman" w:hAnsi="Times New Roman" w:cs="Times New Roman"/>
                <w:iCs/>
                <w:sz w:val="20"/>
                <w:szCs w:val="20"/>
                <w:lang w:val="en-US" w:eastAsia="ro-RO"/>
              </w:rPr>
              <w:t xml:space="preserve"> sub 40 kg</w:t>
            </w:r>
            <w:r w:rsidRPr="004D2FCE">
              <w:rPr>
                <w:rFonts w:ascii="Times New Roman" w:eastAsia="Times New Roman" w:hAnsi="Times New Roman" w:cs="Times New Roman"/>
                <w:iCs/>
                <w:sz w:val="20"/>
                <w:szCs w:val="20"/>
                <w:lang w:eastAsia="ro-RO"/>
              </w:rPr>
              <w:t>: 5 mg/kgc/zi în ziua 1, apoi 2,5 mg/kgc/zi</w:t>
            </w:r>
          </w:p>
        </w:tc>
        <w:tc>
          <w:tcPr>
            <w:tcW w:w="1854" w:type="dxa"/>
            <w:tcBorders>
              <w:top w:val="single" w:sz="6" w:space="0" w:color="000000"/>
              <w:left w:val="single" w:sz="6" w:space="0" w:color="000000"/>
              <w:bottom w:val="single" w:sz="6" w:space="0" w:color="000000"/>
              <w:right w:val="single" w:sz="6" w:space="0" w:color="000000"/>
            </w:tcBorders>
            <w:hideMark/>
          </w:tcPr>
          <w:p w14:paraId="477AF508" w14:textId="77777777" w:rsidR="006E0C02" w:rsidRPr="004D2FCE" w:rsidRDefault="006E0C02" w:rsidP="00B52B53">
            <w:pPr>
              <w:spacing w:after="0" w:line="240" w:lineRule="auto"/>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Citoliză hepatică</w:t>
            </w:r>
          </w:p>
          <w:p w14:paraId="53170C9F" w14:textId="77777777" w:rsidR="006E0C02" w:rsidRPr="004D2FCE" w:rsidRDefault="006E0C02" w:rsidP="00B52B53">
            <w:pPr>
              <w:spacing w:after="0" w:line="240" w:lineRule="auto"/>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Flebite</w:t>
            </w:r>
          </w:p>
          <w:p w14:paraId="364C0C00" w14:textId="77777777" w:rsidR="006E0C02" w:rsidRPr="004D2FCE" w:rsidRDefault="006E0C02" w:rsidP="00B52B53">
            <w:pPr>
              <w:spacing w:after="0" w:line="240" w:lineRule="auto"/>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Constipație, greață</w:t>
            </w:r>
          </w:p>
          <w:p w14:paraId="1E75267B" w14:textId="77777777" w:rsidR="006E0C02" w:rsidRPr="004D2FCE" w:rsidRDefault="006E0C02" w:rsidP="00B52B53">
            <w:pPr>
              <w:spacing w:after="0" w:line="240" w:lineRule="auto"/>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Afectare renală</w:t>
            </w:r>
          </w:p>
        </w:tc>
      </w:tr>
      <w:tr w:rsidR="004D2FCE" w:rsidRPr="004D2FCE" w14:paraId="2FA366B0" w14:textId="77777777" w:rsidTr="00C349F2">
        <w:tc>
          <w:tcPr>
            <w:tcW w:w="1760" w:type="dxa"/>
            <w:tcBorders>
              <w:top w:val="single" w:sz="6" w:space="0" w:color="000000"/>
              <w:left w:val="single" w:sz="6" w:space="0" w:color="000000"/>
              <w:bottom w:val="single" w:sz="6" w:space="0" w:color="000000"/>
              <w:right w:val="single" w:sz="6" w:space="0" w:color="000000"/>
            </w:tcBorders>
          </w:tcPr>
          <w:p w14:paraId="3ACDDDB0" w14:textId="13BE3D7E" w:rsidR="006E0C02" w:rsidRPr="004D2FCE" w:rsidRDefault="006E0C02" w:rsidP="006E0C02">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Nirmatrelvir/ritonavir</w:t>
            </w:r>
          </w:p>
        </w:tc>
        <w:tc>
          <w:tcPr>
            <w:tcW w:w="3198" w:type="dxa"/>
            <w:gridSpan w:val="3"/>
            <w:tcBorders>
              <w:top w:val="single" w:sz="6" w:space="0" w:color="000000"/>
              <w:left w:val="single" w:sz="6" w:space="0" w:color="000000"/>
              <w:bottom w:val="single" w:sz="6" w:space="0" w:color="000000"/>
              <w:right w:val="single" w:sz="6" w:space="0" w:color="000000"/>
            </w:tcBorders>
          </w:tcPr>
          <w:p w14:paraId="062B3E56" w14:textId="77777777" w:rsidR="004062DE" w:rsidRPr="004D2FCE" w:rsidRDefault="004062DE" w:rsidP="006E0C02">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b/>
                <w:iCs/>
                <w:sz w:val="20"/>
                <w:szCs w:val="20"/>
                <w:lang w:eastAsia="ro-RO"/>
              </w:rPr>
              <w:t>De primă alegere</w:t>
            </w:r>
            <w:r w:rsidRPr="004D2FCE">
              <w:rPr>
                <w:rFonts w:ascii="Times New Roman" w:eastAsia="Times New Roman" w:hAnsi="Times New Roman" w:cs="Times New Roman"/>
                <w:iCs/>
                <w:sz w:val="20"/>
                <w:szCs w:val="20"/>
                <w:lang w:eastAsia="ro-RO"/>
              </w:rPr>
              <w:t>:</w:t>
            </w:r>
          </w:p>
          <w:p w14:paraId="0D4837F8" w14:textId="46BC15C5" w:rsidR="004062DE" w:rsidRPr="004D2FCE" w:rsidRDefault="004062DE" w:rsidP="006E0C02">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 xml:space="preserve">- la pacienții cu forme </w:t>
            </w:r>
            <w:r w:rsidR="00C47941" w:rsidRPr="004D2FCE">
              <w:rPr>
                <w:rFonts w:ascii="Times New Roman" w:eastAsia="Times New Roman" w:hAnsi="Times New Roman" w:cs="Times New Roman"/>
                <w:iCs/>
                <w:sz w:val="20"/>
                <w:szCs w:val="20"/>
                <w:lang w:eastAsia="ro-RO"/>
              </w:rPr>
              <w:t xml:space="preserve">clinice </w:t>
            </w:r>
            <w:r w:rsidRPr="004D2FCE">
              <w:rPr>
                <w:rFonts w:ascii="Times New Roman" w:eastAsia="Times New Roman" w:hAnsi="Times New Roman" w:cs="Times New Roman"/>
                <w:iCs/>
                <w:sz w:val="20"/>
                <w:szCs w:val="20"/>
                <w:lang w:eastAsia="ro-RO"/>
              </w:rPr>
              <w:t>ușoare</w:t>
            </w:r>
            <w:r w:rsidR="00C47941" w:rsidRPr="004D2FCE">
              <w:rPr>
                <w:rFonts w:ascii="Times New Roman" w:eastAsia="Times New Roman" w:hAnsi="Times New Roman" w:cs="Times New Roman"/>
                <w:iCs/>
                <w:sz w:val="20"/>
                <w:szCs w:val="20"/>
                <w:lang w:eastAsia="ro-RO"/>
              </w:rPr>
              <w:t xml:space="preserve"> / medii de COVID19</w:t>
            </w:r>
            <w:r w:rsidRPr="004D2FCE">
              <w:rPr>
                <w:rFonts w:ascii="Times New Roman" w:eastAsia="Times New Roman" w:hAnsi="Times New Roman" w:cs="Times New Roman"/>
                <w:iCs/>
                <w:sz w:val="20"/>
                <w:szCs w:val="20"/>
                <w:lang w:eastAsia="ro-RO"/>
              </w:rPr>
              <w:t xml:space="preserve">, </w:t>
            </w:r>
            <w:r w:rsidR="00C47941" w:rsidRPr="004D2FCE">
              <w:rPr>
                <w:rFonts w:ascii="Times New Roman" w:eastAsia="Times New Roman" w:hAnsi="Times New Roman" w:cs="Times New Roman"/>
                <w:iCs/>
                <w:sz w:val="20"/>
                <w:szCs w:val="20"/>
                <w:lang w:eastAsia="ro-RO"/>
              </w:rPr>
              <w:t>care nu necesită spitalizare, dar care au factori de risc pentru  progresia</w:t>
            </w:r>
            <w:r w:rsidRPr="004D2FCE">
              <w:rPr>
                <w:rFonts w:ascii="Times New Roman" w:eastAsia="Times New Roman" w:hAnsi="Times New Roman" w:cs="Times New Roman"/>
                <w:iCs/>
                <w:sz w:val="20"/>
                <w:szCs w:val="20"/>
                <w:lang w:eastAsia="ro-RO"/>
              </w:rPr>
              <w:t xml:space="preserve"> către forme severe</w:t>
            </w:r>
          </w:p>
          <w:p w14:paraId="6B088A09" w14:textId="4EBE604D" w:rsidR="006E0C02" w:rsidRPr="004D2FCE" w:rsidRDefault="004062DE" w:rsidP="006E0C02">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 pacienți spitalizați pentru alte afecțiuni</w:t>
            </w:r>
            <w:r w:rsidR="009B5170" w:rsidRPr="004D2FCE">
              <w:rPr>
                <w:rFonts w:ascii="Times New Roman" w:eastAsia="Times New Roman" w:hAnsi="Times New Roman" w:cs="Times New Roman"/>
                <w:iCs/>
                <w:sz w:val="20"/>
                <w:szCs w:val="20"/>
                <w:lang w:eastAsia="ro-RO"/>
              </w:rPr>
              <w:t>,</w:t>
            </w:r>
            <w:r w:rsidRPr="004D2FCE">
              <w:rPr>
                <w:rFonts w:ascii="Times New Roman" w:eastAsia="Times New Roman" w:hAnsi="Times New Roman" w:cs="Times New Roman"/>
                <w:iCs/>
                <w:sz w:val="20"/>
                <w:szCs w:val="20"/>
                <w:lang w:eastAsia="ro-RO"/>
              </w:rPr>
              <w:t xml:space="preserve"> care sunt diagnosticați cu forme ușoare</w:t>
            </w:r>
            <w:r w:rsidR="009B5170" w:rsidRPr="004D2FCE">
              <w:rPr>
                <w:rFonts w:ascii="Times New Roman" w:eastAsia="Times New Roman" w:hAnsi="Times New Roman" w:cs="Times New Roman"/>
                <w:iCs/>
                <w:sz w:val="20"/>
                <w:szCs w:val="20"/>
                <w:lang w:eastAsia="ro-RO"/>
              </w:rPr>
              <w:t xml:space="preserve"> / medii</w:t>
            </w:r>
            <w:r w:rsidRPr="004D2FCE">
              <w:rPr>
                <w:rFonts w:ascii="Times New Roman" w:eastAsia="Times New Roman" w:hAnsi="Times New Roman" w:cs="Times New Roman"/>
                <w:iCs/>
                <w:sz w:val="20"/>
                <w:szCs w:val="20"/>
                <w:lang w:eastAsia="ro-RO"/>
              </w:rPr>
              <w:t xml:space="preserve"> de COVID19.</w:t>
            </w:r>
          </w:p>
        </w:tc>
        <w:tc>
          <w:tcPr>
            <w:tcW w:w="1260" w:type="dxa"/>
            <w:tcBorders>
              <w:top w:val="single" w:sz="6" w:space="0" w:color="000000"/>
              <w:left w:val="single" w:sz="6" w:space="0" w:color="000000"/>
              <w:bottom w:val="single" w:sz="6" w:space="0" w:color="000000"/>
              <w:right w:val="single" w:sz="6" w:space="0" w:color="000000"/>
            </w:tcBorders>
          </w:tcPr>
          <w:p w14:paraId="05703D94" w14:textId="7FAF8690" w:rsidR="006E0C02" w:rsidRPr="004D2FCE" w:rsidRDefault="006E0C02" w:rsidP="006E0C02">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5 zile</w:t>
            </w:r>
          </w:p>
        </w:tc>
        <w:tc>
          <w:tcPr>
            <w:tcW w:w="1910" w:type="dxa"/>
            <w:tcBorders>
              <w:top w:val="single" w:sz="6" w:space="0" w:color="000000"/>
              <w:left w:val="single" w:sz="6" w:space="0" w:color="000000"/>
              <w:bottom w:val="single" w:sz="6" w:space="0" w:color="000000"/>
              <w:right w:val="single" w:sz="6" w:space="0" w:color="000000"/>
            </w:tcBorders>
          </w:tcPr>
          <w:p w14:paraId="06BE6D0D" w14:textId="320BB01E" w:rsidR="006E0C02" w:rsidRPr="004D2FCE" w:rsidRDefault="006E0C02" w:rsidP="00B52B53">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300 mg nirmatrelvir + 100 mg ritonavir la 12 ore</w:t>
            </w:r>
          </w:p>
        </w:tc>
        <w:tc>
          <w:tcPr>
            <w:tcW w:w="1854" w:type="dxa"/>
            <w:tcBorders>
              <w:top w:val="single" w:sz="6" w:space="0" w:color="000000"/>
              <w:left w:val="single" w:sz="6" w:space="0" w:color="000000"/>
              <w:bottom w:val="single" w:sz="6" w:space="0" w:color="000000"/>
              <w:right w:val="single" w:sz="6" w:space="0" w:color="000000"/>
            </w:tcBorders>
          </w:tcPr>
          <w:p w14:paraId="2DFDED73" w14:textId="77777777" w:rsidR="006E0C02" w:rsidRPr="004D2FCE" w:rsidRDefault="006E0C02" w:rsidP="00B52B53">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Diaree, vărsături</w:t>
            </w:r>
          </w:p>
          <w:p w14:paraId="018B2DDF" w14:textId="77777777" w:rsidR="006E0C02" w:rsidRPr="004D2FCE" w:rsidRDefault="006E0C02" w:rsidP="00B52B53">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Mioartralgii, astenie fizică</w:t>
            </w:r>
          </w:p>
          <w:p w14:paraId="0F09D62C" w14:textId="77777777" w:rsidR="006E0C02" w:rsidRPr="004D2FCE" w:rsidRDefault="006E0C02" w:rsidP="00B52B53">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Erupții, inclusiv sindrom Stevens-Johnson</w:t>
            </w:r>
          </w:p>
          <w:p w14:paraId="51AB31D4" w14:textId="0AA63DC8" w:rsidR="00600126" w:rsidRPr="004D2FCE" w:rsidRDefault="00600126" w:rsidP="00B52B53">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w:t>
            </w:r>
          </w:p>
        </w:tc>
      </w:tr>
      <w:tr w:rsidR="004D2FCE" w:rsidRPr="004D2FCE" w14:paraId="0DE270B5" w14:textId="77777777" w:rsidTr="00C349F2">
        <w:tc>
          <w:tcPr>
            <w:tcW w:w="1760" w:type="dxa"/>
            <w:tcBorders>
              <w:top w:val="single" w:sz="6" w:space="0" w:color="000000"/>
              <w:left w:val="single" w:sz="6" w:space="0" w:color="000000"/>
              <w:bottom w:val="single" w:sz="6" w:space="0" w:color="000000"/>
              <w:right w:val="single" w:sz="6" w:space="0" w:color="000000"/>
            </w:tcBorders>
          </w:tcPr>
          <w:p w14:paraId="54A8ABB7" w14:textId="77777777" w:rsidR="006E0C02" w:rsidRPr="004D2FCE" w:rsidRDefault="006E0C02" w:rsidP="006E0C02">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Molnupiravir</w:t>
            </w:r>
          </w:p>
          <w:p w14:paraId="69CEF420" w14:textId="0080D397" w:rsidR="006E0C02" w:rsidRPr="004D2FCE" w:rsidRDefault="006E0C02" w:rsidP="006E0C02">
            <w:pPr>
              <w:spacing w:after="0" w:line="240" w:lineRule="auto"/>
              <w:jc w:val="both"/>
              <w:rPr>
                <w:rFonts w:ascii="Times New Roman" w:eastAsia="Times New Roman" w:hAnsi="Times New Roman" w:cs="Times New Roman"/>
                <w:iCs/>
                <w:sz w:val="20"/>
                <w:szCs w:val="20"/>
                <w:lang w:eastAsia="ro-RO"/>
              </w:rPr>
            </w:pPr>
          </w:p>
        </w:tc>
        <w:tc>
          <w:tcPr>
            <w:tcW w:w="3198" w:type="dxa"/>
            <w:gridSpan w:val="3"/>
            <w:tcBorders>
              <w:top w:val="single" w:sz="6" w:space="0" w:color="000000"/>
              <w:left w:val="single" w:sz="6" w:space="0" w:color="000000"/>
              <w:bottom w:val="single" w:sz="6" w:space="0" w:color="000000"/>
              <w:right w:val="single" w:sz="6" w:space="0" w:color="000000"/>
            </w:tcBorders>
          </w:tcPr>
          <w:p w14:paraId="5DDB93CD" w14:textId="4D63BDE4" w:rsidR="0028304E" w:rsidRPr="004D2FCE" w:rsidRDefault="004062DE" w:rsidP="006E0C02">
            <w:pPr>
              <w:spacing w:after="0" w:line="240" w:lineRule="auto"/>
              <w:jc w:val="both"/>
              <w:rPr>
                <w:rFonts w:ascii="Times New Roman" w:eastAsia="Times New Roman" w:hAnsi="Times New Roman" w:cs="Times New Roman"/>
                <w:b/>
                <w:iCs/>
                <w:sz w:val="20"/>
                <w:szCs w:val="20"/>
                <w:lang w:eastAsia="ro-RO"/>
              </w:rPr>
            </w:pPr>
            <w:r w:rsidRPr="004D2FCE">
              <w:rPr>
                <w:rFonts w:ascii="Times New Roman" w:eastAsia="Times New Roman" w:hAnsi="Times New Roman" w:cs="Times New Roman"/>
                <w:b/>
                <w:iCs/>
                <w:sz w:val="20"/>
                <w:szCs w:val="20"/>
                <w:lang w:eastAsia="ro-RO"/>
              </w:rPr>
              <w:t>Ca alternativă</w:t>
            </w:r>
            <w:r w:rsidR="0028304E" w:rsidRPr="004D2FCE">
              <w:rPr>
                <w:rFonts w:ascii="Times New Roman" w:eastAsia="Times New Roman" w:hAnsi="Times New Roman" w:cs="Times New Roman"/>
                <w:b/>
                <w:iCs/>
                <w:sz w:val="20"/>
                <w:szCs w:val="20"/>
                <w:lang w:eastAsia="ro-RO"/>
              </w:rPr>
              <w:t>:</w:t>
            </w:r>
            <w:r w:rsidRPr="004D2FCE">
              <w:rPr>
                <w:rFonts w:ascii="Times New Roman" w:eastAsia="Times New Roman" w:hAnsi="Times New Roman" w:cs="Times New Roman"/>
                <w:b/>
                <w:iCs/>
                <w:sz w:val="20"/>
                <w:szCs w:val="20"/>
                <w:lang w:eastAsia="ro-RO"/>
              </w:rPr>
              <w:t xml:space="preserve"> </w:t>
            </w:r>
          </w:p>
          <w:p w14:paraId="5FED3C4F" w14:textId="55C53650" w:rsidR="0028304E" w:rsidRPr="004D2FCE" w:rsidRDefault="0028304E" w:rsidP="0028304E">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w:t>
            </w:r>
            <w:r w:rsidR="004062DE" w:rsidRPr="004D2FCE">
              <w:rPr>
                <w:rFonts w:ascii="Times New Roman" w:eastAsia="Times New Roman" w:hAnsi="Times New Roman" w:cs="Times New Roman"/>
                <w:iCs/>
                <w:sz w:val="20"/>
                <w:szCs w:val="20"/>
                <w:lang w:eastAsia="ro-RO"/>
              </w:rPr>
              <w:t>la pacienții</w:t>
            </w:r>
            <w:r w:rsidRPr="004D2FCE">
              <w:rPr>
                <w:rFonts w:ascii="Times New Roman" w:eastAsia="Times New Roman" w:hAnsi="Times New Roman" w:cs="Times New Roman"/>
                <w:iCs/>
                <w:sz w:val="20"/>
                <w:szCs w:val="20"/>
                <w:lang w:eastAsia="ro-RO"/>
              </w:rPr>
              <w:t xml:space="preserve"> </w:t>
            </w:r>
            <w:r w:rsidR="004062DE" w:rsidRPr="004D2FCE">
              <w:rPr>
                <w:rFonts w:ascii="Times New Roman" w:eastAsia="Times New Roman" w:hAnsi="Times New Roman" w:cs="Times New Roman"/>
                <w:iCs/>
                <w:sz w:val="20"/>
                <w:szCs w:val="20"/>
                <w:lang w:eastAsia="ro-RO"/>
              </w:rPr>
              <w:t xml:space="preserve">cu forme </w:t>
            </w:r>
            <w:r w:rsidR="00C47941" w:rsidRPr="004D2FCE">
              <w:rPr>
                <w:rFonts w:ascii="Times New Roman" w:eastAsia="Times New Roman" w:hAnsi="Times New Roman" w:cs="Times New Roman"/>
                <w:iCs/>
                <w:sz w:val="20"/>
                <w:szCs w:val="20"/>
                <w:lang w:eastAsia="ro-RO"/>
              </w:rPr>
              <w:t xml:space="preserve">clinice </w:t>
            </w:r>
            <w:r w:rsidR="004062DE" w:rsidRPr="004D2FCE">
              <w:rPr>
                <w:rFonts w:ascii="Times New Roman" w:eastAsia="Times New Roman" w:hAnsi="Times New Roman" w:cs="Times New Roman"/>
                <w:iCs/>
                <w:sz w:val="20"/>
                <w:szCs w:val="20"/>
                <w:lang w:eastAsia="ro-RO"/>
              </w:rPr>
              <w:t>ușoare</w:t>
            </w:r>
            <w:r w:rsidRPr="004D2FCE">
              <w:rPr>
                <w:rFonts w:ascii="Times New Roman" w:eastAsia="Times New Roman" w:hAnsi="Times New Roman" w:cs="Times New Roman"/>
                <w:iCs/>
                <w:sz w:val="20"/>
                <w:szCs w:val="20"/>
                <w:lang w:eastAsia="ro-RO"/>
              </w:rPr>
              <w:t xml:space="preserve"> </w:t>
            </w:r>
            <w:r w:rsidR="00C47941" w:rsidRPr="004D2FCE">
              <w:rPr>
                <w:rFonts w:ascii="Times New Roman" w:eastAsia="Times New Roman" w:hAnsi="Times New Roman" w:cs="Times New Roman"/>
                <w:iCs/>
                <w:sz w:val="20"/>
                <w:szCs w:val="20"/>
                <w:lang w:eastAsia="ro-RO"/>
              </w:rPr>
              <w:t xml:space="preserve">/ medii </w:t>
            </w:r>
            <w:r w:rsidR="009B5170" w:rsidRPr="004D2FCE">
              <w:rPr>
                <w:rFonts w:ascii="Times New Roman" w:eastAsia="Times New Roman" w:hAnsi="Times New Roman" w:cs="Times New Roman"/>
                <w:iCs/>
                <w:sz w:val="20"/>
                <w:szCs w:val="20"/>
                <w:lang w:eastAsia="ro-RO"/>
              </w:rPr>
              <w:t>de COVID19</w:t>
            </w:r>
            <w:r w:rsidR="004062DE" w:rsidRPr="004D2FCE">
              <w:rPr>
                <w:rFonts w:ascii="Times New Roman" w:eastAsia="Times New Roman" w:hAnsi="Times New Roman" w:cs="Times New Roman"/>
                <w:iCs/>
                <w:sz w:val="20"/>
                <w:szCs w:val="20"/>
                <w:lang w:eastAsia="ro-RO"/>
              </w:rPr>
              <w:t xml:space="preserve">, care nu necesită spitalizare, </w:t>
            </w:r>
            <w:r w:rsidRPr="004D2FCE">
              <w:rPr>
                <w:rFonts w:ascii="Times New Roman" w:eastAsia="Times New Roman" w:hAnsi="Times New Roman" w:cs="Times New Roman"/>
                <w:iCs/>
                <w:sz w:val="20"/>
                <w:szCs w:val="20"/>
                <w:lang w:eastAsia="ro-RO"/>
              </w:rPr>
              <w:t xml:space="preserve">dar </w:t>
            </w:r>
            <w:r w:rsidR="009B5170" w:rsidRPr="004D2FCE">
              <w:rPr>
                <w:rFonts w:ascii="Times New Roman" w:eastAsia="Times New Roman" w:hAnsi="Times New Roman" w:cs="Times New Roman"/>
                <w:iCs/>
                <w:sz w:val="20"/>
                <w:szCs w:val="20"/>
                <w:lang w:eastAsia="ro-RO"/>
              </w:rPr>
              <w:t xml:space="preserve">care </w:t>
            </w:r>
            <w:r w:rsidRPr="004D2FCE">
              <w:rPr>
                <w:rFonts w:ascii="Times New Roman" w:eastAsia="Times New Roman" w:hAnsi="Times New Roman" w:cs="Times New Roman"/>
                <w:iCs/>
                <w:sz w:val="20"/>
                <w:szCs w:val="20"/>
                <w:lang w:eastAsia="ro-RO"/>
              </w:rPr>
              <w:t>a</w:t>
            </w:r>
            <w:r w:rsidR="004062DE" w:rsidRPr="004D2FCE">
              <w:rPr>
                <w:rFonts w:ascii="Times New Roman" w:eastAsia="Times New Roman" w:hAnsi="Times New Roman" w:cs="Times New Roman"/>
                <w:iCs/>
                <w:sz w:val="20"/>
                <w:szCs w:val="20"/>
                <w:lang w:eastAsia="ro-RO"/>
              </w:rPr>
              <w:t xml:space="preserve">u </w:t>
            </w:r>
            <w:r w:rsidR="009B5170" w:rsidRPr="004D2FCE">
              <w:rPr>
                <w:rFonts w:ascii="Times New Roman" w:eastAsia="Times New Roman" w:hAnsi="Times New Roman" w:cs="Times New Roman"/>
                <w:iCs/>
                <w:sz w:val="20"/>
                <w:szCs w:val="20"/>
                <w:lang w:eastAsia="ro-RO"/>
              </w:rPr>
              <w:t>factori de risc pentru progresia</w:t>
            </w:r>
            <w:r w:rsidR="004062DE" w:rsidRPr="004D2FCE">
              <w:rPr>
                <w:rFonts w:ascii="Times New Roman" w:eastAsia="Times New Roman" w:hAnsi="Times New Roman" w:cs="Times New Roman"/>
                <w:iCs/>
                <w:sz w:val="20"/>
                <w:szCs w:val="20"/>
                <w:lang w:eastAsia="ro-RO"/>
              </w:rPr>
              <w:t xml:space="preserve"> către forme severe</w:t>
            </w:r>
            <w:r w:rsidR="00A60C67" w:rsidRPr="004D2FCE">
              <w:rPr>
                <w:rFonts w:ascii="Times New Roman" w:eastAsia="Times New Roman" w:hAnsi="Times New Roman" w:cs="Times New Roman"/>
                <w:iCs/>
                <w:sz w:val="20"/>
                <w:szCs w:val="20"/>
                <w:lang w:eastAsia="ro-RO"/>
              </w:rPr>
              <w:t>, atunci când există</w:t>
            </w:r>
            <w:r w:rsidRPr="004D2FCE">
              <w:rPr>
                <w:rFonts w:ascii="Times New Roman" w:eastAsia="Times New Roman" w:hAnsi="Times New Roman" w:cs="Times New Roman"/>
                <w:iCs/>
                <w:sz w:val="20"/>
                <w:szCs w:val="20"/>
                <w:lang w:eastAsia="ro-RO"/>
              </w:rPr>
              <w:t xml:space="preserve"> contraindicații la medicația de primă alegere</w:t>
            </w:r>
            <w:r w:rsidR="009B5170" w:rsidRPr="004D2FCE">
              <w:rPr>
                <w:rFonts w:ascii="Times New Roman" w:eastAsia="Times New Roman" w:hAnsi="Times New Roman" w:cs="Times New Roman"/>
                <w:iCs/>
                <w:sz w:val="20"/>
                <w:szCs w:val="20"/>
                <w:lang w:eastAsia="ro-RO"/>
              </w:rPr>
              <w:t xml:space="preserve"> </w:t>
            </w:r>
            <w:r w:rsidR="00A60C67" w:rsidRPr="004D2FCE">
              <w:rPr>
                <w:rFonts w:ascii="Times New Roman" w:eastAsia="Times New Roman" w:hAnsi="Times New Roman" w:cs="Times New Roman"/>
                <w:iCs/>
                <w:sz w:val="20"/>
                <w:szCs w:val="20"/>
                <w:lang w:eastAsia="ro-RO"/>
              </w:rPr>
              <w:t xml:space="preserve">și </w:t>
            </w:r>
            <w:r w:rsidR="009B5170" w:rsidRPr="004D2FCE">
              <w:rPr>
                <w:rFonts w:ascii="Times New Roman" w:eastAsia="Times New Roman" w:hAnsi="Times New Roman" w:cs="Times New Roman"/>
                <w:iCs/>
                <w:sz w:val="20"/>
                <w:szCs w:val="20"/>
                <w:lang w:eastAsia="ro-RO"/>
              </w:rPr>
              <w:t xml:space="preserve">atunci </w:t>
            </w:r>
            <w:r w:rsidR="004062DE" w:rsidRPr="004D2FCE">
              <w:rPr>
                <w:rFonts w:ascii="Times New Roman" w:eastAsia="Times New Roman" w:hAnsi="Times New Roman" w:cs="Times New Roman"/>
                <w:iCs/>
                <w:sz w:val="20"/>
                <w:szCs w:val="20"/>
                <w:lang w:eastAsia="ro-RO"/>
              </w:rPr>
              <w:t>când nu este disponibilă medicația de primă alegere</w:t>
            </w:r>
          </w:p>
          <w:p w14:paraId="4AB14ABB" w14:textId="77777777" w:rsidR="00A60C67" w:rsidRPr="004D2FCE" w:rsidRDefault="0028304E" w:rsidP="00A60C67">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 xml:space="preserve">- pacienți spitalizați pentru alte afecțiuni care sunt diagnosticați cu forme ușoare </w:t>
            </w:r>
            <w:r w:rsidR="009B5170" w:rsidRPr="004D2FCE">
              <w:rPr>
                <w:rFonts w:ascii="Times New Roman" w:eastAsia="Times New Roman" w:hAnsi="Times New Roman" w:cs="Times New Roman"/>
                <w:iCs/>
                <w:sz w:val="20"/>
                <w:szCs w:val="20"/>
                <w:lang w:eastAsia="ro-RO"/>
              </w:rPr>
              <w:t xml:space="preserve">/ medii  </w:t>
            </w:r>
            <w:r w:rsidRPr="004D2FCE">
              <w:rPr>
                <w:rFonts w:ascii="Times New Roman" w:eastAsia="Times New Roman" w:hAnsi="Times New Roman" w:cs="Times New Roman"/>
                <w:iCs/>
                <w:sz w:val="20"/>
                <w:szCs w:val="20"/>
                <w:lang w:eastAsia="ro-RO"/>
              </w:rPr>
              <w:t>de COVID19, care au contraindicație la medicația de primă alegere</w:t>
            </w:r>
            <w:r w:rsidR="00A60C67" w:rsidRPr="004D2FCE">
              <w:rPr>
                <w:rFonts w:ascii="Times New Roman" w:eastAsia="Times New Roman" w:hAnsi="Times New Roman" w:cs="Times New Roman"/>
                <w:iCs/>
                <w:sz w:val="20"/>
                <w:szCs w:val="20"/>
                <w:lang w:eastAsia="ro-RO"/>
              </w:rPr>
              <w:t xml:space="preserve"> și atunci când nu este disponibilă medicația de primă alegere</w:t>
            </w:r>
          </w:p>
          <w:p w14:paraId="578A4EA6" w14:textId="18E956BD" w:rsidR="0028304E" w:rsidRPr="004D2FCE" w:rsidRDefault="0028304E" w:rsidP="0028304E">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 xml:space="preserve">. </w:t>
            </w:r>
          </w:p>
          <w:p w14:paraId="59FFD24B" w14:textId="6FF81DA1" w:rsidR="004062DE" w:rsidRPr="004D2FCE" w:rsidRDefault="004062DE" w:rsidP="0028304E">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BCA50D4" w14:textId="77777777" w:rsidR="006E0C02" w:rsidRPr="004D2FCE" w:rsidRDefault="006E0C02" w:rsidP="006E0C02">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5 zile</w:t>
            </w:r>
          </w:p>
          <w:p w14:paraId="47B8908F" w14:textId="77777777" w:rsidR="006E0C02" w:rsidRPr="004D2FCE" w:rsidRDefault="006E0C02" w:rsidP="006E0C02">
            <w:pPr>
              <w:spacing w:after="0" w:line="240" w:lineRule="auto"/>
              <w:jc w:val="both"/>
              <w:rPr>
                <w:rFonts w:ascii="Times New Roman" w:eastAsia="Times New Roman" w:hAnsi="Times New Roman" w:cs="Times New Roman"/>
                <w:iCs/>
                <w:sz w:val="20"/>
                <w:szCs w:val="20"/>
                <w:lang w:eastAsia="ro-RO"/>
              </w:rPr>
            </w:pPr>
          </w:p>
        </w:tc>
        <w:tc>
          <w:tcPr>
            <w:tcW w:w="1910" w:type="dxa"/>
            <w:tcBorders>
              <w:top w:val="single" w:sz="6" w:space="0" w:color="000000"/>
              <w:left w:val="single" w:sz="6" w:space="0" w:color="000000"/>
              <w:bottom w:val="single" w:sz="6" w:space="0" w:color="000000"/>
              <w:right w:val="single" w:sz="6" w:space="0" w:color="000000"/>
            </w:tcBorders>
          </w:tcPr>
          <w:p w14:paraId="43786E41" w14:textId="3DF6FF9A" w:rsidR="006E0C02" w:rsidRPr="004D2FCE" w:rsidRDefault="006E0C02" w:rsidP="00B52B53">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800 mg la 12 ore</w:t>
            </w:r>
          </w:p>
        </w:tc>
        <w:tc>
          <w:tcPr>
            <w:tcW w:w="1854" w:type="dxa"/>
            <w:tcBorders>
              <w:top w:val="single" w:sz="6" w:space="0" w:color="000000"/>
              <w:left w:val="single" w:sz="6" w:space="0" w:color="000000"/>
              <w:bottom w:val="single" w:sz="6" w:space="0" w:color="000000"/>
              <w:right w:val="single" w:sz="6" w:space="0" w:color="000000"/>
            </w:tcBorders>
          </w:tcPr>
          <w:p w14:paraId="41592EA0" w14:textId="77777777" w:rsidR="006E0C02" w:rsidRPr="004D2FCE" w:rsidRDefault="006E0C02" w:rsidP="00B52B53">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Tulburari digestive</w:t>
            </w:r>
          </w:p>
          <w:p w14:paraId="155E767C" w14:textId="77777777" w:rsidR="006E0C02" w:rsidRPr="004D2FCE" w:rsidRDefault="006E0C02" w:rsidP="00B52B53">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Cefalee</w:t>
            </w:r>
          </w:p>
          <w:p w14:paraId="63F43C06" w14:textId="77777777" w:rsidR="006E0C02" w:rsidRPr="004D2FCE" w:rsidRDefault="006E0C02" w:rsidP="00B52B53">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Ameteli</w:t>
            </w:r>
          </w:p>
          <w:p w14:paraId="2BAFAF3D" w14:textId="14F2475A" w:rsidR="006E0C02" w:rsidRPr="004D2FCE" w:rsidRDefault="006E0C02" w:rsidP="00B52B53">
            <w:pPr>
              <w:spacing w:after="0" w:line="240" w:lineRule="auto"/>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Posibil teratogen*)</w:t>
            </w:r>
          </w:p>
        </w:tc>
      </w:tr>
      <w:tr w:rsidR="004D2FCE" w:rsidRPr="004D2FCE" w14:paraId="21E5209C" w14:textId="77777777" w:rsidTr="00B52B53">
        <w:trPr>
          <w:gridAfter w:val="4"/>
          <w:wAfter w:w="5364" w:type="dxa"/>
        </w:trPr>
        <w:tc>
          <w:tcPr>
            <w:tcW w:w="2949" w:type="dxa"/>
            <w:gridSpan w:val="2"/>
            <w:tcBorders>
              <w:top w:val="nil"/>
              <w:left w:val="nil"/>
              <w:bottom w:val="nil"/>
              <w:right w:val="nil"/>
            </w:tcBorders>
          </w:tcPr>
          <w:p w14:paraId="062DC9D4" w14:textId="5DCFD4F2" w:rsidR="006E0C02" w:rsidRPr="004D2FCE" w:rsidRDefault="008957EB" w:rsidP="006E0C02">
            <w:pPr>
              <w:spacing w:after="0"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 Se folosește doar împreună cu mijloace de contracepție la pacientele de vârstă fertilă și la pacienții cu capacitate de procreere</w:t>
            </w:r>
            <w:r w:rsidR="00F01C9E" w:rsidRPr="004D2FCE">
              <w:rPr>
                <w:rFonts w:ascii="Times New Roman" w:eastAsia="Times New Roman" w:hAnsi="Times New Roman" w:cs="Times New Roman"/>
                <w:iCs/>
                <w:sz w:val="20"/>
                <w:szCs w:val="20"/>
                <w:lang w:eastAsia="ro-RO"/>
              </w:rPr>
              <w:t xml:space="preserve"> </w:t>
            </w:r>
          </w:p>
        </w:tc>
        <w:tc>
          <w:tcPr>
            <w:tcW w:w="1669" w:type="dxa"/>
            <w:tcBorders>
              <w:top w:val="nil"/>
              <w:left w:val="nil"/>
              <w:bottom w:val="nil"/>
              <w:right w:val="nil"/>
            </w:tcBorders>
          </w:tcPr>
          <w:p w14:paraId="3200DBB1" w14:textId="77777777" w:rsidR="006E0C02" w:rsidRPr="004D2FCE" w:rsidRDefault="006E0C02" w:rsidP="006E0C02">
            <w:pPr>
              <w:spacing w:after="0" w:line="240" w:lineRule="auto"/>
              <w:jc w:val="both"/>
              <w:rPr>
                <w:rFonts w:ascii="Times New Roman" w:eastAsia="Times New Roman" w:hAnsi="Times New Roman" w:cs="Times New Roman"/>
                <w:iCs/>
                <w:sz w:val="20"/>
                <w:szCs w:val="20"/>
                <w:lang w:eastAsia="ro-RO"/>
              </w:rPr>
            </w:pPr>
          </w:p>
        </w:tc>
      </w:tr>
    </w:tbl>
    <w:p w14:paraId="78240E0F" w14:textId="77777777" w:rsidR="005033A4" w:rsidRPr="004D2FCE"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A3C59A0" w14:textId="77777777" w:rsidR="005033A4" w:rsidRPr="004D2FCE" w:rsidRDefault="005033A4" w:rsidP="009D4541">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1066EFDD"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B.2.</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Medicație antiinflamatorie și imunomodulatoare</w:t>
      </w:r>
      <w:r w:rsidRPr="004D2FCE">
        <w:rPr>
          <w:rFonts w:ascii="Times New Roman" w:eastAsia="Times New Roman" w:hAnsi="Times New Roman" w:cs="Times New Roman"/>
          <w:sz w:val="24"/>
          <w:szCs w:val="24"/>
          <w:bdr w:val="none" w:sz="0" w:space="0" w:color="auto" w:frame="1"/>
          <w:shd w:val="clear" w:color="auto" w:fill="FFFFFF"/>
        </w:rPr>
        <w:t xml:space="preserve"> (tabelul 2)</w:t>
      </w:r>
    </w:p>
    <w:p w14:paraId="7AC89F99"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D9FBCD8"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Faza inițială infecțioasă este urmată la unii pacienți de o a doua etapă, dominată de răspunsul inflamator.</w:t>
      </w:r>
    </w:p>
    <w:p w14:paraId="0AFA582A"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115081E"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În plan clinic aceasta este asociată cu recrudescența/agravarea simptomatologiei, afectare pulmonară evidentă, iar o parte dintre pacienți ajung la evoluție nefavorabilă prin răspuns inflamator excesiv, uneori fără a exista factori de risc semnificativ. În același timp, un alt subset de pacienți poate avea un deficit de imunitate care împiedică realizarea controlului infecției SARS-CoV-2 și predispune la suprainfecții.</w:t>
      </w:r>
    </w:p>
    <w:p w14:paraId="1B87091F"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6759C51"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Este importantă monitorizarea biologică cât mai amplă pentru a surprinde momentul accentuării reacției inflamatorii și eventual al eliberării excesive de citokine cu ajutorul proteinei C reactive în creștere, hemogramei (limfopenie, trombocitopenie), feritinei crescute, IL-6 în creștere, creșterii nivelului de fibrinogen și de D-dimeri, creșterii LDH.</w:t>
      </w:r>
    </w:p>
    <w:p w14:paraId="0F6B1359"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9D20471"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Prin administrarea de medicație antiinflamatorie sau imunomodulatoare se încearcă reducerea riscului de evoluție nefavorabilă, inclusiv a decesului la aceste categorii de pacienți. Riscurile asociate cu </w:t>
      </w:r>
      <w:r w:rsidRPr="004D2FCE">
        <w:rPr>
          <w:rFonts w:ascii="Times New Roman" w:eastAsia="Times New Roman" w:hAnsi="Times New Roman" w:cs="Times New Roman"/>
          <w:sz w:val="24"/>
          <w:szCs w:val="24"/>
          <w:bdr w:val="none" w:sz="0" w:space="0" w:color="auto" w:frame="1"/>
          <w:shd w:val="clear" w:color="auto" w:fill="FFFFFF"/>
        </w:rPr>
        <w:lastRenderedPageBreak/>
        <w:t>administrarea lor pot fi o imunodepresie prea intensă, cu întârzierea eradicării infecției SARS-CoV-2 și posibile reactivări de infecții cronice: tuberculoză, pneumocistoză, hepatite virale cronice.</w:t>
      </w:r>
    </w:p>
    <w:p w14:paraId="2BF4D1C2"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A1FBCC4"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Principalele încercări terapeutice în acest scop s-au bazat pe corticoizi sistemici și imunosupresoare/modulatoare.</w:t>
      </w:r>
    </w:p>
    <w:p w14:paraId="45EA6221"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BC364EE" w14:textId="77777777" w:rsidR="009D4541"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B.2.a.</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Corticoizi sistemici</w:t>
      </w:r>
    </w:p>
    <w:p w14:paraId="064C0DA5"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EB4164F"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Corticoizii reprezintă un tratament important în controlul fazei inflamatorii a evoluției COVID-19 și pot reprezenta o alternativă de discutat în cazul sindromului de secreție excesivă de citokine.</w:t>
      </w:r>
    </w:p>
    <w:p w14:paraId="2555C765"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3AD474B" w14:textId="77777777" w:rsidR="009D4541"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Utilizarea de corticoizi sistemici în doză antiinflamatorie</w:t>
      </w:r>
    </w:p>
    <w:p w14:paraId="086155CE"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92587C5"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Beneficiul administrării de corticoizi s-a regăsit pentru diverse categorii de pacienți hipoxici, dar nu și pentru cei care nu necesitau oxigen suplimentar. Aceasta a determinat recomandarea utilizării de dexametazonă 6 mg/zi, iv sau oral, timp de 10 zile, la pacienții cu pneumonie COVID-19 care necesită oxigenoterapie. În cazul în care dexametazona nu este disponibilă sau nu se poate utiliza la un pacient se poate folosi metilprednisolon. Durata administrării se decide în funcție de evoluția pacientului.</w:t>
      </w:r>
    </w:p>
    <w:p w14:paraId="6C2512D6"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6CF3818" w14:textId="4FD6526E" w:rsidR="009D4541"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sz w:val="24"/>
          <w:szCs w:val="24"/>
          <w:u w:val="single"/>
          <w:bdr w:val="none" w:sz="0" w:space="0" w:color="auto" w:frame="1"/>
          <w:shd w:val="clear" w:color="auto" w:fill="FFFFFF"/>
        </w:rPr>
        <w:t>Corticoizii administrați la pacienți aflați în faza inițială infecțioasă pot favoriza replicarea virală și agrava/prelungi durata bolii</w:t>
      </w:r>
      <w:r w:rsidRPr="004D2FCE">
        <w:rPr>
          <w:rFonts w:ascii="Times New Roman" w:eastAsia="Times New Roman" w:hAnsi="Times New Roman" w:cs="Times New Roman"/>
          <w:sz w:val="24"/>
          <w:szCs w:val="24"/>
          <w:bdr w:val="none" w:sz="0" w:space="0" w:color="auto" w:frame="1"/>
          <w:shd w:val="clear" w:color="auto" w:fill="FFFFFF"/>
        </w:rPr>
        <w:t xml:space="preserve">; datele statistice nu susțin un efect favorabil al corticoizilor administrați precoce. </w:t>
      </w:r>
      <w:r w:rsidRPr="004D2FCE">
        <w:rPr>
          <w:rFonts w:ascii="Times New Roman" w:eastAsia="Times New Roman" w:hAnsi="Times New Roman" w:cs="Times New Roman"/>
          <w:b/>
          <w:sz w:val="24"/>
          <w:szCs w:val="24"/>
          <w:bdr w:val="none" w:sz="0" w:space="0" w:color="auto" w:frame="1"/>
          <w:shd w:val="clear" w:color="auto" w:fill="FFFFFF"/>
        </w:rPr>
        <w:t>De aceea, la pacienții care mențin o funcție respiratorie satisfăcătoare fără aport suplimentar de oxigen, corticoizii nu sunt recomandați și trebuie evitați.</w:t>
      </w:r>
    </w:p>
    <w:p w14:paraId="6031E92D" w14:textId="77777777" w:rsidR="009D4541" w:rsidRPr="004D2FCE" w:rsidRDefault="009D4541"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65508384" w14:textId="77777777" w:rsidR="009D4541"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2.</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Utilizarea de doze mari (imunosupresoare) de corticosteroizi</w:t>
      </w:r>
    </w:p>
    <w:p w14:paraId="0B26AF66"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6239F1D"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La pacienții cu detresă respiratorie acută, mai ales în cazul unei creșteri bruște și importante a parametrilor biologici ce indică un exces de inflamație, se pot lua în considerare doze zilnice de corticoid cu efect imunosupresor (schemă propusă: 20 mg/zi în primele cinci zile, apoi 10 mg/zi, alte cinci zile).</w:t>
      </w:r>
    </w:p>
    <w:p w14:paraId="2065AFEA"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81A7381" w14:textId="77777777" w:rsidR="009D4541"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3.</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Alte indicații ale corticoterapiei sistemice</w:t>
      </w:r>
    </w:p>
    <w:p w14:paraId="617C7C57"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FBAFCDA"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La pacienți cu COVID-19 este justificat să se administreze corticoizi și în alte câteva situații:</w:t>
      </w:r>
    </w:p>
    <w:p w14:paraId="1DABC1E3" w14:textId="3BFB328F" w:rsidR="009D4541" w:rsidRPr="004D2FCE" w:rsidRDefault="00022853" w:rsidP="004B50B4">
      <w:pPr>
        <w:pStyle w:val="ListParagraph"/>
        <w:numPr>
          <w:ilvl w:val="2"/>
          <w:numId w:val="11"/>
        </w:numPr>
        <w:spacing w:after="0" w:line="240" w:lineRule="auto"/>
        <w:ind w:left="63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în caz de șoc septic neresponsiv la amine vasopresoare (HHC, de regulă 50 mg la 6 ore);</w:t>
      </w:r>
    </w:p>
    <w:p w14:paraId="75CB577C" w14:textId="796AF34F" w:rsidR="009D4541" w:rsidRPr="004D2FCE" w:rsidRDefault="00022853" w:rsidP="004B50B4">
      <w:pPr>
        <w:pStyle w:val="ListParagraph"/>
        <w:numPr>
          <w:ilvl w:val="2"/>
          <w:numId w:val="11"/>
        </w:numPr>
        <w:spacing w:after="0" w:line="240" w:lineRule="auto"/>
        <w:ind w:left="63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la pacienții care au o altă indicație de utilizare a acestora, cum ar fi criza de astm bronșic, BPCO acutizat sau insuficiența suprarenaliană.</w:t>
      </w:r>
    </w:p>
    <w:p w14:paraId="1F27C495" w14:textId="77777777" w:rsidR="009D4541" w:rsidRPr="004D2FCE" w:rsidRDefault="009D4541"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6C068336" w14:textId="77777777" w:rsidR="009D4541"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B.2.b.</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Imunomodulatoare</w:t>
      </w:r>
    </w:p>
    <w:p w14:paraId="6EC04F4B" w14:textId="77777777" w:rsidR="009D4541" w:rsidRPr="004D2FCE" w:rsidRDefault="009D4541"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7A7FF218" w14:textId="798E4349" w:rsidR="009D4541" w:rsidRPr="004D2FCE" w:rsidRDefault="00022853" w:rsidP="009D4541">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w:t>
      </w:r>
      <w:r w:rsidRPr="004D2FCE">
        <w:rPr>
          <w:rFonts w:ascii="Times New Roman" w:eastAsia="Times New Roman" w:hAnsi="Times New Roman" w:cs="Times New Roman"/>
          <w:b/>
          <w:sz w:val="24"/>
          <w:szCs w:val="24"/>
          <w:bdr w:val="dotted" w:sz="6" w:space="0" w:color="FEFEFE" w:frame="1"/>
          <w:shd w:val="clear" w:color="auto" w:fill="FFFFFF"/>
        </w:rPr>
        <w:t> </w:t>
      </w:r>
      <w:r w:rsidR="00602A10" w:rsidRPr="004D2FCE">
        <w:rPr>
          <w:rFonts w:ascii="Times New Roman" w:eastAsia="Times New Roman" w:hAnsi="Times New Roman" w:cs="Times New Roman"/>
          <w:b/>
          <w:sz w:val="24"/>
          <w:szCs w:val="24"/>
          <w:bdr w:val="dotted" w:sz="6" w:space="0" w:color="FEFEFE" w:frame="1"/>
          <w:shd w:val="clear" w:color="auto" w:fill="FFFFFF"/>
        </w:rPr>
        <w:t xml:space="preserve">D.C.I </w:t>
      </w:r>
      <w:r w:rsidRPr="004D2FCE">
        <w:rPr>
          <w:rFonts w:ascii="Times New Roman" w:eastAsia="Times New Roman" w:hAnsi="Times New Roman" w:cs="Times New Roman"/>
          <w:b/>
          <w:sz w:val="24"/>
          <w:szCs w:val="24"/>
          <w:bdr w:val="none" w:sz="0" w:space="0" w:color="auto" w:frame="1"/>
          <w:shd w:val="clear" w:color="auto" w:fill="FFFFFF"/>
        </w:rPr>
        <w:t>Tocilizumab</w:t>
      </w:r>
      <w:r w:rsidR="005D7C14" w:rsidRPr="004D2FCE">
        <w:rPr>
          <w:rFonts w:ascii="Times New Roman" w:eastAsia="Times New Roman" w:hAnsi="Times New Roman" w:cs="Times New Roman"/>
          <w:b/>
          <w:sz w:val="24"/>
          <w:szCs w:val="24"/>
          <w:bdr w:val="none" w:sz="0" w:space="0" w:color="auto" w:frame="1"/>
          <w:shd w:val="clear" w:color="auto" w:fill="FFFFFF"/>
        </w:rPr>
        <w:t xml:space="preserve"> </w:t>
      </w:r>
      <w:r w:rsidR="005D7C14" w:rsidRPr="004D2FCE">
        <w:rPr>
          <w:rFonts w:ascii="Times New Roman" w:eastAsia="Times New Roman" w:hAnsi="Times New Roman" w:cs="Times New Roman"/>
          <w:i/>
          <w:sz w:val="24"/>
          <w:szCs w:val="24"/>
          <w:bdr w:val="none" w:sz="0" w:space="0" w:color="auto" w:frame="1"/>
          <w:shd w:val="clear" w:color="auto" w:fill="FFFFFF"/>
        </w:rPr>
        <w:t>(RoActemra)</w:t>
      </w:r>
    </w:p>
    <w:p w14:paraId="04800884" w14:textId="77777777"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Acest antagonist de receptor de IL-6 are rezultate favorabile în reducerea ratei de decese și a duratei de spitalizare în terapie intensivă la un subgrup de pacienți cu forme severe de COVID-19 la care există o activare excesivă a inflamației. Anterior, tocilizumab a mai fost utilizat în tratamentul sindromului de eliberare de citokine.</w:t>
      </w:r>
    </w:p>
    <w:p w14:paraId="4C445F88"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3C16D4C" w14:textId="64A74686" w:rsidR="009D4541" w:rsidRPr="004D2FCE" w:rsidRDefault="00022853" w:rsidP="009D4541">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Doza utilizată în perfuzie endovenoasă este de 8 mg/kgc (maximum 800 mg per administrare); se poate relua dacă răspunsul terapeutic lipsește. Au fost utilizate și doze mai mici, de 400 mg per doză la adult.</w:t>
      </w:r>
    </w:p>
    <w:p w14:paraId="1539C780"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9778433" w14:textId="00497865"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Utilizarea tocilizumabului se recomandă a fi făcută în asociere cu tratamentul corticoid, mai ales dacă se produc</w:t>
      </w:r>
      <w:r w:rsidR="009D4541" w:rsidRPr="004D2FCE">
        <w:rPr>
          <w:rFonts w:ascii="Times New Roman" w:eastAsia="Times New Roman" w:hAnsi="Times New Roman" w:cs="Times New Roman"/>
          <w:sz w:val="24"/>
          <w:szCs w:val="24"/>
          <w:bdr w:val="none" w:sz="0" w:space="0" w:color="auto" w:frame="1"/>
          <w:shd w:val="clear" w:color="auto" w:fill="FFFFFF"/>
        </w:rPr>
        <w:t>e</w:t>
      </w:r>
      <w:r w:rsidRPr="004D2FCE">
        <w:rPr>
          <w:rFonts w:ascii="Times New Roman" w:eastAsia="Times New Roman" w:hAnsi="Times New Roman" w:cs="Times New Roman"/>
          <w:sz w:val="24"/>
          <w:szCs w:val="24"/>
          <w:bdr w:val="none" w:sz="0" w:space="0" w:color="auto" w:frame="1"/>
          <w:shd w:val="clear" w:color="auto" w:fill="FFFFFF"/>
        </w:rPr>
        <w:t xml:space="preserve"> deteriorare clinică și creșterea valorii testelor de inflamație în pofida tratamentului anterior (valoarea propusă pentru a iniția tratamentul cu tocilizumab este cea a proteinei C reactive peste 75 mg/L).</w:t>
      </w:r>
    </w:p>
    <w:p w14:paraId="2D139C50"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4607DA8" w14:textId="04DA5B6D" w:rsidR="009D4541"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2.</w:t>
      </w:r>
      <w:r w:rsidRPr="004D2FCE">
        <w:rPr>
          <w:rFonts w:ascii="Times New Roman" w:eastAsia="Times New Roman" w:hAnsi="Times New Roman" w:cs="Times New Roman"/>
          <w:b/>
          <w:sz w:val="24"/>
          <w:szCs w:val="24"/>
          <w:bdr w:val="dotted" w:sz="6" w:space="0" w:color="FEFEFE" w:frame="1"/>
          <w:shd w:val="clear" w:color="auto" w:fill="FFFFFF"/>
        </w:rPr>
        <w:t> </w:t>
      </w:r>
      <w:r w:rsidR="00DA2023" w:rsidRPr="004D2FCE">
        <w:rPr>
          <w:rFonts w:ascii="Times New Roman" w:eastAsia="Times New Roman" w:hAnsi="Times New Roman" w:cs="Times New Roman"/>
          <w:b/>
          <w:sz w:val="24"/>
          <w:szCs w:val="24"/>
          <w:bdr w:val="dotted" w:sz="6" w:space="0" w:color="FEFEFE" w:frame="1"/>
          <w:shd w:val="clear" w:color="auto" w:fill="FFFFFF"/>
        </w:rPr>
        <w:t xml:space="preserve">D.C.I </w:t>
      </w:r>
      <w:r w:rsidRPr="004D2FCE">
        <w:rPr>
          <w:rFonts w:ascii="Times New Roman" w:eastAsia="Times New Roman" w:hAnsi="Times New Roman" w:cs="Times New Roman"/>
          <w:b/>
          <w:sz w:val="24"/>
          <w:szCs w:val="24"/>
          <w:bdr w:val="none" w:sz="0" w:space="0" w:color="auto" w:frame="1"/>
          <w:shd w:val="clear" w:color="auto" w:fill="FFFFFF"/>
        </w:rPr>
        <w:t>Anakinra</w:t>
      </w:r>
      <w:r w:rsidR="00DA2023" w:rsidRPr="004D2FCE">
        <w:rPr>
          <w:rFonts w:ascii="Times New Roman" w:eastAsia="Times New Roman" w:hAnsi="Times New Roman" w:cs="Times New Roman"/>
          <w:b/>
          <w:sz w:val="24"/>
          <w:szCs w:val="24"/>
          <w:bdr w:val="none" w:sz="0" w:space="0" w:color="auto" w:frame="1"/>
          <w:shd w:val="clear" w:color="auto" w:fill="FFFFFF"/>
        </w:rPr>
        <w:t xml:space="preserve"> </w:t>
      </w:r>
      <w:r w:rsidR="00DA2023" w:rsidRPr="004D2FCE">
        <w:rPr>
          <w:rFonts w:ascii="Times New Roman" w:eastAsia="Times New Roman" w:hAnsi="Times New Roman" w:cs="Times New Roman"/>
          <w:i/>
          <w:sz w:val="24"/>
          <w:szCs w:val="24"/>
          <w:bdr w:val="none" w:sz="0" w:space="0" w:color="auto" w:frame="1"/>
          <w:shd w:val="clear" w:color="auto" w:fill="FFFFFF"/>
        </w:rPr>
        <w:t>(Kineret)</w:t>
      </w:r>
    </w:p>
    <w:p w14:paraId="480527D3" w14:textId="77777777" w:rsidR="00703B36"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Anakinra este un antagonist de receptori de IL-1, înregistrat în prezent în tratamentul poliartritei reumatoide și al bolii Still. Se administrează subcutanat, 100 mg/zi, dar în forme severe de boli inflamatorii se poate ajunge la 400 mg/zi.</w:t>
      </w:r>
    </w:p>
    <w:p w14:paraId="07442692" w14:textId="77777777" w:rsidR="00703B36" w:rsidRPr="004D2FCE" w:rsidRDefault="00703B36"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C885986" w14:textId="77777777" w:rsidR="00703B36"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lastRenderedPageBreak/>
        <w:t>În cazul COVID-19 s-a recurs la utilizarea de 200-400 mg/zi, administrate subcutanat, cu doze în scădere, timp de 7-10 zile. Datele observaționale și un RCT publicate referitor la tratamentul pacienților cu pneumonie COVID-19 au arătat o reducere a letalității la pacienții cu forme severe de boală, cu inflamație importantă.</w:t>
      </w:r>
    </w:p>
    <w:p w14:paraId="111FB7A3" w14:textId="77777777" w:rsidR="00703B36" w:rsidRPr="004D2FCE" w:rsidRDefault="00703B36"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8D4AFED" w14:textId="77777777" w:rsidR="00703B36"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În cazul administrării la pacienți care nu au o afectare pulmonară importantă și nici inflamație severă, eficiența anakinra nu a fost dovedită. Nu a fost demonstrat un beneficiu al tratamentului cu anakinra nici la pacienții cu forme critice de boală, internați în servicii de terapie intensivă.</w:t>
      </w:r>
    </w:p>
    <w:p w14:paraId="28072654" w14:textId="77777777" w:rsidR="00703B36" w:rsidRPr="004D2FCE" w:rsidRDefault="00703B36"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02F3A9C" w14:textId="626DC40E"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Aceste date sugerează utilizarea anakinra dacă pacientul are pneumonie care se agravează și inflamație în creștere, mai ales dacă administrarea de corticoid nu s-a reușit controlul bolii.</w:t>
      </w:r>
    </w:p>
    <w:p w14:paraId="2E7EC9C6"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10F8B38" w14:textId="75563101" w:rsidR="009D4541" w:rsidRPr="004D2FCE" w:rsidRDefault="00022853" w:rsidP="00022853">
      <w:pPr>
        <w:spacing w:after="0" w:line="240" w:lineRule="auto"/>
        <w:ind w:left="72" w:right="72"/>
        <w:jc w:val="both"/>
        <w:rPr>
          <w:rFonts w:ascii="Times New Roman" w:eastAsia="Times New Roman" w:hAnsi="Times New Roman" w:cs="Times New Roman"/>
          <w:i/>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3.</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Baricitinib</w:t>
      </w:r>
      <w:r w:rsidR="00361670" w:rsidRPr="004D2FCE">
        <w:rPr>
          <w:rFonts w:ascii="Times New Roman" w:eastAsia="Times New Roman" w:hAnsi="Times New Roman" w:cs="Times New Roman"/>
          <w:b/>
          <w:sz w:val="24"/>
          <w:szCs w:val="24"/>
          <w:bdr w:val="none" w:sz="0" w:space="0" w:color="auto" w:frame="1"/>
          <w:shd w:val="clear" w:color="auto" w:fill="FFFFFF"/>
        </w:rPr>
        <w:t xml:space="preserve"> </w:t>
      </w:r>
      <w:r w:rsidR="00361670" w:rsidRPr="004D2FCE">
        <w:rPr>
          <w:rFonts w:ascii="Times New Roman" w:eastAsia="Times New Roman" w:hAnsi="Times New Roman" w:cs="Times New Roman"/>
          <w:i/>
          <w:sz w:val="24"/>
          <w:szCs w:val="24"/>
          <w:bdr w:val="none" w:sz="0" w:space="0" w:color="auto" w:frame="1"/>
          <w:shd w:val="clear" w:color="auto" w:fill="FFFFFF"/>
        </w:rPr>
        <w:t>(Olumiant)</w:t>
      </w:r>
    </w:p>
    <w:p w14:paraId="355624CE" w14:textId="77777777" w:rsidR="00703B36"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Baricitinib este un inhibitor de Janus kinază 1 și 2, administrat oral și indicat în prezent în tratamentul poliartritei reumatoide și al dermatitei atopice care necesită tratament sistemic, într-o doză de 4 mg/zi.</w:t>
      </w:r>
    </w:p>
    <w:p w14:paraId="4BAEA49B" w14:textId="77777777" w:rsidR="00703B36" w:rsidRPr="004D2FCE" w:rsidRDefault="00703B36"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5EDB63D" w14:textId="77777777" w:rsidR="00703B36"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Rezultatele a două RCT susțin utilizarea sa la pacienții cu forme severe de COVID-19; FDA a decis emiterea unei autorizări provizorii pentru baricitinib asociat cu remdesivir.</w:t>
      </w:r>
    </w:p>
    <w:p w14:paraId="20A16428" w14:textId="77777777" w:rsidR="00703B36" w:rsidRPr="004D2FCE" w:rsidRDefault="00703B36"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C1D6DE4" w14:textId="0B74F32B" w:rsidR="009D4541"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Ghidul NIH recomandă baricitinib ca o alternativă a tocilizumabului, în asociere cu dexametazonă; de asemenea, ghidul IDSA </w:t>
      </w:r>
      <w:r w:rsidRPr="004D2FCE">
        <w:rPr>
          <w:rFonts w:ascii="Times New Roman" w:eastAsia="Times New Roman" w:hAnsi="Times New Roman" w:cs="Times New Roman"/>
          <w:sz w:val="24"/>
          <w:szCs w:val="24"/>
          <w:u w:val="single"/>
          <w:bdr w:val="none" w:sz="0" w:space="0" w:color="auto" w:frame="1"/>
          <w:shd w:val="clear" w:color="auto" w:fill="FFFFFF"/>
        </w:rPr>
        <w:t>îl recomandă la pacienți cu forme severe de boală, atrăgând atenția că nu se asociază cu tocilizumab sau alți inhibitori de IL-6</w:t>
      </w:r>
      <w:r w:rsidRPr="004D2FCE">
        <w:rPr>
          <w:rFonts w:ascii="Times New Roman" w:eastAsia="Times New Roman" w:hAnsi="Times New Roman" w:cs="Times New Roman"/>
          <w:sz w:val="24"/>
          <w:szCs w:val="24"/>
          <w:bdr w:val="none" w:sz="0" w:space="0" w:color="auto" w:frame="1"/>
          <w:shd w:val="clear" w:color="auto" w:fill="FFFFFF"/>
        </w:rPr>
        <w:t>. Nici IDSA și nici NIH nu recomandă baricitinib la pacientul deja intubat și ventilat mecanic. Durata de tratament propusă este de 14 zile sau până la externarea pacientului. Riscul tromboembolic legat de baricitinib ar trebui să fie și el luat în calcul în evaluarea oportunității administrării sale la pacienți cu COVID-19.</w:t>
      </w:r>
    </w:p>
    <w:p w14:paraId="69BEE8E4" w14:textId="77777777" w:rsidR="009D4541" w:rsidRPr="004D2FCE"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BF96A90" w14:textId="77777777" w:rsidR="009D4541"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4.</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Alte imunomodulatoare</w:t>
      </w:r>
    </w:p>
    <w:p w14:paraId="64C753D1"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Nu au fost publicate rezultate suficiente pentru siltuximab (o serie de 30 de cazuri tratate în Italia, cu evoluție mai bună față de pacienții cu tratament standard), sarilumab (datele utilizate de IDSA arată o tendință nesemnificativă statistic către prevenirea formelor critice și reducerea riscului de deces), fluvoxamină (administrată precoce pentru a preveni agravarea către forme severe și critice de boală).</w:t>
      </w:r>
    </w:p>
    <w:p w14:paraId="422A8F2A" w14:textId="77777777" w:rsidR="005633B8" w:rsidRPr="004D2FCE"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5C30BCE"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În concluzie, tratamentul antiinflamator este indicat pacienților care se află în a doua fază a bolii, cea dominată de răspunsul inflamator, și ar trebui inițiat pe criterii de beneficiu/risc în funcție de nivelul inflamației, manifestările clinice induse și de efecte adverse posibile. Tratamentul imunomodulator este recomandat doar unor subseturi de pacienți cu răspunsuri exagerate la agresiunea infecțioasă. </w:t>
      </w:r>
    </w:p>
    <w:p w14:paraId="27581796" w14:textId="77777777" w:rsidR="005633B8" w:rsidRPr="004D2FCE"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98D9A93"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O abordare terapeutică rațională ar include două etape:</w:t>
      </w:r>
    </w:p>
    <w:p w14:paraId="07BF63FA"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a)</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corticoizi în doză antiinflamatorie; și</w:t>
      </w:r>
    </w:p>
    <w:p w14:paraId="2DE906C6"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în cazul ineficienței corticoizilor și al creșterii bruște a inflamației, imunosupresoare/modulatoare.</w:t>
      </w:r>
    </w:p>
    <w:p w14:paraId="3F79E7AE" w14:textId="77777777" w:rsidR="00C14E42" w:rsidRPr="004D2FCE" w:rsidRDefault="00C14E42" w:rsidP="001F7E60">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53E08650" w14:textId="5FB59DD0"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Tabelul 2. Medicație antiinflamatorie și imunomodulatoare propusă în tratamentul COVID-19</w:t>
      </w:r>
    </w:p>
    <w:p w14:paraId="119C8D11" w14:textId="77777777" w:rsidR="005633B8" w:rsidRPr="004D2FCE"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W w:w="10116" w:type="dxa"/>
        <w:tblInd w:w="82"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753"/>
        <w:gridCol w:w="2835"/>
        <w:gridCol w:w="2572"/>
        <w:gridCol w:w="2956"/>
      </w:tblGrid>
      <w:tr w:rsidR="004D2FCE" w:rsidRPr="004D2FCE" w14:paraId="168EA92C" w14:textId="77777777" w:rsidTr="005633B8">
        <w:tc>
          <w:tcPr>
            <w:tcW w:w="1753" w:type="dxa"/>
            <w:tcBorders>
              <w:top w:val="single" w:sz="6" w:space="0" w:color="000000"/>
              <w:left w:val="single" w:sz="6" w:space="0" w:color="000000"/>
              <w:bottom w:val="single" w:sz="6" w:space="0" w:color="000000"/>
              <w:right w:val="single" w:sz="6" w:space="0" w:color="000000"/>
            </w:tcBorders>
            <w:hideMark/>
          </w:tcPr>
          <w:p w14:paraId="162058E1"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Medicament</w:t>
            </w:r>
          </w:p>
        </w:tc>
        <w:tc>
          <w:tcPr>
            <w:tcW w:w="2835" w:type="dxa"/>
            <w:tcBorders>
              <w:top w:val="single" w:sz="6" w:space="0" w:color="000000"/>
              <w:left w:val="single" w:sz="6" w:space="0" w:color="000000"/>
              <w:bottom w:val="single" w:sz="6" w:space="0" w:color="000000"/>
              <w:right w:val="single" w:sz="6" w:space="0" w:color="000000"/>
            </w:tcBorders>
            <w:hideMark/>
          </w:tcPr>
          <w:p w14:paraId="71FE7CFD"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Doze</w:t>
            </w:r>
          </w:p>
        </w:tc>
        <w:tc>
          <w:tcPr>
            <w:tcW w:w="2572" w:type="dxa"/>
            <w:tcBorders>
              <w:top w:val="single" w:sz="6" w:space="0" w:color="000000"/>
              <w:left w:val="single" w:sz="6" w:space="0" w:color="000000"/>
              <w:bottom w:val="single" w:sz="6" w:space="0" w:color="000000"/>
              <w:right w:val="single" w:sz="6" w:space="0" w:color="000000"/>
            </w:tcBorders>
            <w:hideMark/>
          </w:tcPr>
          <w:p w14:paraId="4B0DDA2A"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Durată standard</w:t>
            </w:r>
          </w:p>
        </w:tc>
        <w:tc>
          <w:tcPr>
            <w:tcW w:w="2956" w:type="dxa"/>
            <w:tcBorders>
              <w:top w:val="single" w:sz="6" w:space="0" w:color="000000"/>
              <w:left w:val="single" w:sz="6" w:space="0" w:color="000000"/>
              <w:bottom w:val="single" w:sz="6" w:space="0" w:color="000000"/>
              <w:right w:val="single" w:sz="6" w:space="0" w:color="000000"/>
            </w:tcBorders>
            <w:hideMark/>
          </w:tcPr>
          <w:p w14:paraId="6D775898" w14:textId="77777777" w:rsidR="005633B8" w:rsidRPr="004D2FCE" w:rsidRDefault="005633B8" w:rsidP="005633B8">
            <w:pPr>
              <w:spacing w:after="0"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sz w:val="20"/>
                <w:szCs w:val="20"/>
                <w:lang w:eastAsia="ro-RO"/>
              </w:rPr>
              <w:t xml:space="preserve"> Reacții adverse posibile</w:t>
            </w:r>
          </w:p>
        </w:tc>
      </w:tr>
      <w:tr w:rsidR="004D2FCE" w:rsidRPr="004D2FCE" w14:paraId="1F674207" w14:textId="77777777" w:rsidTr="005633B8">
        <w:tc>
          <w:tcPr>
            <w:tcW w:w="1753" w:type="dxa"/>
            <w:tcBorders>
              <w:top w:val="single" w:sz="6" w:space="0" w:color="000000"/>
              <w:left w:val="single" w:sz="6" w:space="0" w:color="000000"/>
              <w:bottom w:val="single" w:sz="6" w:space="0" w:color="000000"/>
              <w:right w:val="single" w:sz="6" w:space="0" w:color="000000"/>
            </w:tcBorders>
            <w:hideMark/>
          </w:tcPr>
          <w:p w14:paraId="79FCAA76"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Dexametazonă</w:t>
            </w:r>
          </w:p>
          <w:p w14:paraId="6D247AE2" w14:textId="3DDC6D90"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(alternativ  metilprednisolon)</w:t>
            </w:r>
          </w:p>
        </w:tc>
        <w:tc>
          <w:tcPr>
            <w:tcW w:w="2835" w:type="dxa"/>
            <w:tcBorders>
              <w:top w:val="single" w:sz="6" w:space="0" w:color="000000"/>
              <w:left w:val="single" w:sz="6" w:space="0" w:color="000000"/>
              <w:bottom w:val="single" w:sz="6" w:space="0" w:color="000000"/>
              <w:right w:val="single" w:sz="6" w:space="0" w:color="000000"/>
            </w:tcBorders>
            <w:hideMark/>
          </w:tcPr>
          <w:p w14:paraId="2B8B206C"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Antiinflamator: 6 - 8 mg iv/zi</w:t>
            </w:r>
          </w:p>
          <w:p w14:paraId="13678D81"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Imunosupresie: 16 mg/zi</w:t>
            </w:r>
          </w:p>
          <w:p w14:paraId="06AC3F2C"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(24 mg/zi la persoane cu obezitate)</w:t>
            </w:r>
          </w:p>
        </w:tc>
        <w:tc>
          <w:tcPr>
            <w:tcW w:w="2572" w:type="dxa"/>
            <w:tcBorders>
              <w:top w:val="single" w:sz="6" w:space="0" w:color="000000"/>
              <w:left w:val="single" w:sz="6" w:space="0" w:color="000000"/>
              <w:bottom w:val="single" w:sz="6" w:space="0" w:color="000000"/>
              <w:right w:val="single" w:sz="6" w:space="0" w:color="000000"/>
            </w:tcBorders>
            <w:hideMark/>
          </w:tcPr>
          <w:p w14:paraId="19001C08"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10 zile</w:t>
            </w:r>
          </w:p>
        </w:tc>
        <w:tc>
          <w:tcPr>
            <w:tcW w:w="2956" w:type="dxa"/>
            <w:tcBorders>
              <w:top w:val="single" w:sz="6" w:space="0" w:color="000000"/>
              <w:left w:val="single" w:sz="6" w:space="0" w:color="000000"/>
              <w:bottom w:val="single" w:sz="6" w:space="0" w:color="000000"/>
              <w:right w:val="single" w:sz="6" w:space="0" w:color="000000"/>
            </w:tcBorders>
            <w:hideMark/>
          </w:tcPr>
          <w:p w14:paraId="3440165B"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Iritație mucoasă digestivă</w:t>
            </w:r>
          </w:p>
          <w:p w14:paraId="19A6646C"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Dezechilibrare diabet</w:t>
            </w:r>
          </w:p>
        </w:tc>
      </w:tr>
      <w:tr w:rsidR="004D2FCE" w:rsidRPr="004D2FCE" w14:paraId="2075B240" w14:textId="77777777" w:rsidTr="005633B8">
        <w:tc>
          <w:tcPr>
            <w:tcW w:w="1753" w:type="dxa"/>
            <w:tcBorders>
              <w:top w:val="single" w:sz="6" w:space="0" w:color="000000"/>
              <w:left w:val="single" w:sz="6" w:space="0" w:color="000000"/>
              <w:bottom w:val="single" w:sz="6" w:space="0" w:color="000000"/>
              <w:right w:val="single" w:sz="6" w:space="0" w:color="000000"/>
            </w:tcBorders>
            <w:hideMark/>
          </w:tcPr>
          <w:p w14:paraId="575CC242"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Tocilizumab</w:t>
            </w:r>
          </w:p>
        </w:tc>
        <w:tc>
          <w:tcPr>
            <w:tcW w:w="2835" w:type="dxa"/>
            <w:tcBorders>
              <w:top w:val="single" w:sz="6" w:space="0" w:color="000000"/>
              <w:left w:val="single" w:sz="6" w:space="0" w:color="000000"/>
              <w:bottom w:val="single" w:sz="6" w:space="0" w:color="000000"/>
              <w:right w:val="single" w:sz="6" w:space="0" w:color="000000"/>
            </w:tcBorders>
            <w:hideMark/>
          </w:tcPr>
          <w:p w14:paraId="1C955544"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8 mg/kg perfuzie endovenoasă,  (maximum 800 mg per administrare)</w:t>
            </w:r>
          </w:p>
        </w:tc>
        <w:tc>
          <w:tcPr>
            <w:tcW w:w="2572" w:type="dxa"/>
            <w:tcBorders>
              <w:top w:val="single" w:sz="6" w:space="0" w:color="000000"/>
              <w:left w:val="single" w:sz="6" w:space="0" w:color="000000"/>
              <w:bottom w:val="single" w:sz="6" w:space="0" w:color="000000"/>
              <w:right w:val="single" w:sz="6" w:space="0" w:color="000000"/>
            </w:tcBorders>
            <w:hideMark/>
          </w:tcPr>
          <w:p w14:paraId="27F4CBC6"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1 - 2 administrări, de preferat la 8 - 12 ore interval între ele</w:t>
            </w:r>
          </w:p>
        </w:tc>
        <w:tc>
          <w:tcPr>
            <w:tcW w:w="2956" w:type="dxa"/>
            <w:tcBorders>
              <w:top w:val="single" w:sz="6" w:space="0" w:color="000000"/>
              <w:left w:val="single" w:sz="6" w:space="0" w:color="000000"/>
              <w:bottom w:val="single" w:sz="6" w:space="0" w:color="000000"/>
              <w:right w:val="single" w:sz="6" w:space="0" w:color="000000"/>
            </w:tcBorders>
            <w:hideMark/>
          </w:tcPr>
          <w:p w14:paraId="753A3C00"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Reactivări ale unor infecții: tuberculoză, hepatită cronică cu VHB, infecții herpetice</w:t>
            </w:r>
          </w:p>
          <w:p w14:paraId="561CBA5E"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Afectare hepatică până la insuficiență hepatică</w:t>
            </w:r>
          </w:p>
          <w:p w14:paraId="2726976B"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Perforație intestinală</w:t>
            </w:r>
          </w:p>
          <w:p w14:paraId="0E8BB399"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lastRenderedPageBreak/>
              <w:t>Hipercolesterolemie</w:t>
            </w:r>
          </w:p>
        </w:tc>
      </w:tr>
      <w:tr w:rsidR="004D2FCE" w:rsidRPr="004D2FCE" w14:paraId="51391A2B" w14:textId="77777777" w:rsidTr="005633B8">
        <w:tc>
          <w:tcPr>
            <w:tcW w:w="1753" w:type="dxa"/>
            <w:tcBorders>
              <w:top w:val="single" w:sz="6" w:space="0" w:color="000000"/>
              <w:left w:val="single" w:sz="6" w:space="0" w:color="000000"/>
              <w:bottom w:val="single" w:sz="6" w:space="0" w:color="000000"/>
              <w:right w:val="single" w:sz="6" w:space="0" w:color="000000"/>
            </w:tcBorders>
            <w:hideMark/>
          </w:tcPr>
          <w:p w14:paraId="5E440788"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lastRenderedPageBreak/>
              <w:t>Anakinra</w:t>
            </w:r>
          </w:p>
        </w:tc>
        <w:tc>
          <w:tcPr>
            <w:tcW w:w="2835" w:type="dxa"/>
            <w:tcBorders>
              <w:top w:val="single" w:sz="6" w:space="0" w:color="000000"/>
              <w:left w:val="single" w:sz="6" w:space="0" w:color="000000"/>
              <w:bottom w:val="single" w:sz="6" w:space="0" w:color="000000"/>
              <w:right w:val="single" w:sz="6" w:space="0" w:color="000000"/>
            </w:tcBorders>
            <w:hideMark/>
          </w:tcPr>
          <w:p w14:paraId="72E1D4C7"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Subcutan, 200 - 400 mg/zi inițial, apoi 100 mg/zi</w:t>
            </w:r>
          </w:p>
        </w:tc>
        <w:tc>
          <w:tcPr>
            <w:tcW w:w="2572" w:type="dxa"/>
            <w:tcBorders>
              <w:top w:val="single" w:sz="6" w:space="0" w:color="000000"/>
              <w:left w:val="single" w:sz="6" w:space="0" w:color="000000"/>
              <w:bottom w:val="single" w:sz="6" w:space="0" w:color="000000"/>
              <w:right w:val="single" w:sz="6" w:space="0" w:color="000000"/>
            </w:tcBorders>
            <w:hideMark/>
          </w:tcPr>
          <w:p w14:paraId="5CACD778"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7 - 10 zile</w:t>
            </w:r>
          </w:p>
        </w:tc>
        <w:tc>
          <w:tcPr>
            <w:tcW w:w="2956" w:type="dxa"/>
            <w:tcBorders>
              <w:top w:val="single" w:sz="6" w:space="0" w:color="000000"/>
              <w:left w:val="single" w:sz="6" w:space="0" w:color="000000"/>
              <w:bottom w:val="single" w:sz="6" w:space="0" w:color="000000"/>
              <w:right w:val="single" w:sz="6" w:space="0" w:color="000000"/>
            </w:tcBorders>
            <w:hideMark/>
          </w:tcPr>
          <w:p w14:paraId="6DD2F620"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Afectare hepatică</w:t>
            </w:r>
          </w:p>
        </w:tc>
      </w:tr>
      <w:tr w:rsidR="004D2FCE" w:rsidRPr="004D2FCE" w14:paraId="29F40625" w14:textId="77777777" w:rsidTr="005633B8">
        <w:tc>
          <w:tcPr>
            <w:tcW w:w="1753" w:type="dxa"/>
            <w:tcBorders>
              <w:top w:val="single" w:sz="6" w:space="0" w:color="000000"/>
              <w:left w:val="single" w:sz="6" w:space="0" w:color="000000"/>
              <w:bottom w:val="single" w:sz="6" w:space="0" w:color="000000"/>
              <w:right w:val="single" w:sz="6" w:space="0" w:color="000000"/>
            </w:tcBorders>
            <w:hideMark/>
          </w:tcPr>
          <w:p w14:paraId="16ADB6DF"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În curs de evaluare cu rezultate preliminare favorabile</w:t>
            </w:r>
          </w:p>
        </w:tc>
        <w:tc>
          <w:tcPr>
            <w:tcW w:w="8363" w:type="dxa"/>
            <w:gridSpan w:val="3"/>
            <w:tcBorders>
              <w:top w:val="single" w:sz="6" w:space="0" w:color="000000"/>
              <w:left w:val="single" w:sz="6" w:space="0" w:color="000000"/>
              <w:bottom w:val="single" w:sz="6" w:space="0" w:color="000000"/>
              <w:right w:val="single" w:sz="6" w:space="0" w:color="000000"/>
            </w:tcBorders>
            <w:hideMark/>
          </w:tcPr>
          <w:p w14:paraId="214D34EC" w14:textId="77777777" w:rsidR="005633B8" w:rsidRPr="004D2FCE"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Baricitinib, siltuximab,</w:t>
            </w:r>
            <w:r w:rsidRPr="004D2FCE">
              <w:rPr>
                <w:rFonts w:ascii="Times New Roman" w:eastAsia="Times New Roman" w:hAnsi="Times New Roman" w:cs="Times New Roman"/>
                <w:sz w:val="20"/>
                <w:szCs w:val="20"/>
                <w:lang w:eastAsia="ro-RO"/>
              </w:rPr>
              <w:t xml:space="preserve"> sarilumab, fluvoxamină</w:t>
            </w:r>
          </w:p>
        </w:tc>
      </w:tr>
    </w:tbl>
    <w:p w14:paraId="59E813FB" w14:textId="77777777" w:rsidR="005633B8" w:rsidRPr="004D2FCE" w:rsidRDefault="005633B8" w:rsidP="005633B8">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2744B0DB" w14:textId="77777777" w:rsidR="005633B8"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B.3.</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Managementul coagulopatiei</w:t>
      </w:r>
    </w:p>
    <w:p w14:paraId="18759D76" w14:textId="77777777" w:rsidR="005633B8" w:rsidRPr="004D2FCE"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3CDF546"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u w:val="single"/>
          <w:bdr w:val="none" w:sz="0" w:space="0" w:color="auto" w:frame="1"/>
          <w:shd w:val="clear" w:color="auto" w:fill="FFFFFF"/>
        </w:rPr>
        <w:t>Abrevieri</w:t>
      </w:r>
      <w:r w:rsidRPr="004D2FCE">
        <w:rPr>
          <w:rFonts w:ascii="Times New Roman" w:eastAsia="Times New Roman" w:hAnsi="Times New Roman" w:cs="Times New Roman"/>
          <w:sz w:val="24"/>
          <w:szCs w:val="24"/>
          <w:bdr w:val="none" w:sz="0" w:space="0" w:color="auto" w:frame="1"/>
          <w:shd w:val="clear" w:color="auto" w:fill="FFFFFF"/>
        </w:rPr>
        <w:t xml:space="preserve">: </w:t>
      </w:r>
    </w:p>
    <w:p w14:paraId="7E76E7B8"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TEV = trombembolism venos; </w:t>
      </w:r>
    </w:p>
    <w:p w14:paraId="6A4DF212"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TVP = tromboză venoasă profundă; </w:t>
      </w:r>
    </w:p>
    <w:p w14:paraId="53D5A5D3"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HGMM = heparină cu greutate moleculară mică; </w:t>
      </w:r>
    </w:p>
    <w:p w14:paraId="3FDA1396"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NOAC = anticoagulante orale non-antivitamine K; </w:t>
      </w:r>
    </w:p>
    <w:p w14:paraId="732669B1" w14:textId="2C2E49A5"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ClCr = clearance creatinină.</w:t>
      </w:r>
    </w:p>
    <w:p w14:paraId="70D9B35F" w14:textId="77777777" w:rsidR="005633B8" w:rsidRPr="004D2FCE"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AC32FDB" w14:textId="77777777" w:rsidR="005633B8" w:rsidRPr="004D2FCE" w:rsidRDefault="00022853" w:rsidP="00022853">
      <w:pPr>
        <w:spacing w:after="0" w:line="240" w:lineRule="auto"/>
        <w:ind w:left="72" w:right="72"/>
        <w:jc w:val="both"/>
        <w:rPr>
          <w:rFonts w:ascii="Times New Roman" w:eastAsia="Times New Roman" w:hAnsi="Times New Roman" w:cs="Times New Roman"/>
          <w:b/>
          <w:sz w:val="24"/>
          <w:szCs w:val="24"/>
          <w:u w:val="single"/>
          <w:bdr w:val="none" w:sz="0" w:space="0" w:color="auto" w:frame="1"/>
          <w:shd w:val="clear" w:color="auto" w:fill="FFFFFF"/>
        </w:rPr>
      </w:pPr>
      <w:r w:rsidRPr="004D2FCE">
        <w:rPr>
          <w:rFonts w:ascii="Times New Roman" w:eastAsia="Times New Roman" w:hAnsi="Times New Roman" w:cs="Times New Roman"/>
          <w:b/>
          <w:sz w:val="24"/>
          <w:szCs w:val="24"/>
          <w:u w:val="single"/>
          <w:bdr w:val="none" w:sz="0" w:space="0" w:color="auto" w:frame="1"/>
          <w:shd w:val="clear" w:color="auto" w:fill="FFFFFF"/>
        </w:rPr>
        <w:t>Teste de laborator</w:t>
      </w:r>
    </w:p>
    <w:p w14:paraId="5BE2E4BA" w14:textId="51652404"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La pacienții nespitalizați nu există argumente pentru valoarea predictivă a markerilor de coagulare (inclusiv D-dimeri, timp de protrombină, fibrinogen, număr trombocite), motiv pentru care aceș</w:t>
      </w:r>
      <w:r w:rsidR="005633B8" w:rsidRPr="004D2FCE">
        <w:rPr>
          <w:rFonts w:ascii="Times New Roman" w:eastAsia="Times New Roman" w:hAnsi="Times New Roman" w:cs="Times New Roman"/>
          <w:sz w:val="24"/>
          <w:szCs w:val="24"/>
          <w:bdr w:val="none" w:sz="0" w:space="0" w:color="auto" w:frame="1"/>
          <w:shd w:val="clear" w:color="auto" w:fill="FFFFFF"/>
        </w:rPr>
        <w:t>tia nu trebuie dozați de rutină</w:t>
      </w:r>
    </w:p>
    <w:p w14:paraId="61F24E77" w14:textId="77777777" w:rsidR="009065A8" w:rsidRPr="004D2FCE" w:rsidRDefault="009065A8"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B12A192" w14:textId="5EFE6EEC"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La pacienții spitalizați se determină de rutină parametrii hematologici și de coagulare (inclusiv D-dimeri, timp de protrombină, fibrinogen, număr trombocite).</w:t>
      </w:r>
    </w:p>
    <w:p w14:paraId="0F89807D" w14:textId="77777777" w:rsidR="009065A8" w:rsidRPr="004D2FCE" w:rsidRDefault="009065A8"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912FBB4" w14:textId="77777777" w:rsidR="009065A8" w:rsidRPr="004D2FCE" w:rsidRDefault="009065A8"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7030410C" w14:textId="030C724C"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Titrul hsTn se corelează mai probabil cu un răspuns cardiac inflamator decât eveniment coronarian, motiv pentru care interpretarea rezultatului trebuie făcută în contextul clinic.</w:t>
      </w:r>
    </w:p>
    <w:p w14:paraId="69B0CD23" w14:textId="77777777" w:rsidR="009065A8" w:rsidRPr="004D2FCE" w:rsidRDefault="009065A8"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520A4057" w14:textId="66E7E7B4"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Monitorizarea ECG și repetarea biomarkerilor cardiaci (hsTn, BNP) zilnică sunt indicate la pacienți cu suspiciune de afectare miocardică, din cauza probabilității de modificări în dinamică.</w:t>
      </w:r>
    </w:p>
    <w:p w14:paraId="08F921C4" w14:textId="77777777" w:rsidR="005633B8" w:rsidRPr="004D2FCE"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8912183" w14:textId="77777777" w:rsidR="005633B8"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Terapia cronică anticoagulantă/antiplachetară</w:t>
      </w:r>
    </w:p>
    <w:p w14:paraId="1695C479" w14:textId="77777777" w:rsidR="005633B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Toți pacienții care primesc o astfel de terapie pentru condiții preexistente o vor primi în continuare, inclusiv în situația în care aceste condiții sunt depistate cu ocazia infecției cu COVID-19.</w:t>
      </w:r>
    </w:p>
    <w:p w14:paraId="12595794" w14:textId="77777777" w:rsidR="005633B8" w:rsidRPr="004D2FCE"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F3FEC60" w14:textId="77777777" w:rsidR="0081696A"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La pacienții stabili cu indicație prealabilă de anticoagulare cu AVK pentru fibrilație atrială nonvalvulară sau TVP/TEV, dar la care nu se poate menține INR în intervalul terapeutic, se recomandă înlocuirea cu un NOAC, cu respectarea indicațiilor, contraindicațiilor, dozelor recomandate și cu verificarea interacțiunilor medicamentoase (tabelul B3-1).</w:t>
      </w:r>
    </w:p>
    <w:p w14:paraId="42B9D08F" w14:textId="77777777" w:rsidR="00C14E42" w:rsidRPr="004D2FCE" w:rsidRDefault="00C14E42" w:rsidP="001F7E60">
      <w:pPr>
        <w:spacing w:after="0" w:line="240" w:lineRule="auto"/>
        <w:ind w:right="72"/>
        <w:jc w:val="both"/>
        <w:rPr>
          <w:rFonts w:ascii="Times New Roman" w:eastAsia="Times New Roman" w:hAnsi="Times New Roman" w:cs="Times New Roman"/>
          <w:b/>
          <w:sz w:val="24"/>
          <w:szCs w:val="24"/>
          <w:bdr w:val="none" w:sz="0" w:space="0" w:color="auto" w:frame="1"/>
          <w:shd w:val="clear" w:color="auto" w:fill="FFFFFF"/>
        </w:rPr>
      </w:pPr>
    </w:p>
    <w:p w14:paraId="0511A2AB" w14:textId="77777777" w:rsidR="0081696A"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Screening și profilaxie pentru tromboembolismul venos (TEV)</w:t>
      </w:r>
    </w:p>
    <w:p w14:paraId="1A32631B" w14:textId="7E5E11A9"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Nu se recomandă terapie</w:t>
      </w:r>
      <w:r w:rsidR="009065A8" w:rsidRPr="004D2FCE">
        <w:rPr>
          <w:rFonts w:ascii="Times New Roman" w:eastAsia="Times New Roman" w:hAnsi="Times New Roman" w:cs="Times New Roman"/>
          <w:sz w:val="24"/>
          <w:szCs w:val="24"/>
          <w:bdr w:val="none" w:sz="0" w:space="0" w:color="auto" w:frame="1"/>
          <w:shd w:val="clear" w:color="auto" w:fill="FFFFFF"/>
        </w:rPr>
        <w:t xml:space="preserve"> antitrombotică (anticoagulant/</w:t>
      </w:r>
      <w:r w:rsidRPr="004D2FCE">
        <w:rPr>
          <w:rFonts w:ascii="Times New Roman" w:eastAsia="Times New Roman" w:hAnsi="Times New Roman" w:cs="Times New Roman"/>
          <w:sz w:val="24"/>
          <w:szCs w:val="24"/>
          <w:bdr w:val="none" w:sz="0" w:space="0" w:color="auto" w:frame="1"/>
          <w:shd w:val="clear" w:color="auto" w:fill="FFFFFF"/>
        </w:rPr>
        <w:t>antiplachetar) de prevenție a tromboembolismului venos sau arterial la pacienții nespitalizați, cu forme ușoare de COVID-19 fără necesar de oxigen, în lipsa altor indicații pentru această terapie.</w:t>
      </w:r>
    </w:p>
    <w:p w14:paraId="1E6DEABF" w14:textId="25DA8F70"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Pacienții spitalizați pentru COVID-19, în absența unei contraindicații majore (sângerare activă, sângerare majoră în ultimele 24-48 de ore, trombocitopenie severă &lt; 50.000/cmc), vor primi terapie anticoagulantă profilactică cu HGMM (sau heparină nefracționată în cazul unui Cl creatinină &lt; 15 ml/min sau al pacienților dializați); Femeile gravide au protocol separat (a se vedea mai departe).</w:t>
      </w:r>
    </w:p>
    <w:p w14:paraId="1603323E" w14:textId="43F2849A"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Această terapie va fi aplicată cât mai precoce după spitalizarea pacientului.</w:t>
      </w:r>
    </w:p>
    <w:p w14:paraId="75307CEE" w14:textId="61440EE0"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Administrarea profilaxiei </w:t>
      </w:r>
      <w:r w:rsidRPr="004D2FCE">
        <w:rPr>
          <w:rFonts w:ascii="Times New Roman" w:eastAsia="Times New Roman" w:hAnsi="Times New Roman" w:cs="Times New Roman"/>
          <w:b/>
          <w:sz w:val="24"/>
          <w:szCs w:val="24"/>
          <w:bdr w:val="none" w:sz="0" w:space="0" w:color="auto" w:frame="1"/>
          <w:shd w:val="clear" w:color="auto" w:fill="FFFFFF"/>
        </w:rPr>
        <w:t xml:space="preserve">NU </w:t>
      </w:r>
      <w:r w:rsidRPr="004D2FCE">
        <w:rPr>
          <w:rFonts w:ascii="Times New Roman" w:eastAsia="Times New Roman" w:hAnsi="Times New Roman" w:cs="Times New Roman"/>
          <w:sz w:val="24"/>
          <w:szCs w:val="24"/>
          <w:bdr w:val="none" w:sz="0" w:space="0" w:color="auto" w:frame="1"/>
          <w:shd w:val="clear" w:color="auto" w:fill="FFFFFF"/>
        </w:rPr>
        <w:t>va fi gestionată exclusiv după nivelul D-dimer, fără evoluția clinică.</w:t>
      </w:r>
    </w:p>
    <w:p w14:paraId="16CF8D6A" w14:textId="69D2DB68"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Nu se va administra terapie profilactică pentru embolia arterială </w:t>
      </w:r>
      <w:r w:rsidRPr="004D2FCE">
        <w:rPr>
          <w:rFonts w:ascii="Times New Roman" w:eastAsia="Times New Roman" w:hAnsi="Times New Roman" w:cs="Times New Roman"/>
          <w:b/>
          <w:sz w:val="24"/>
          <w:szCs w:val="24"/>
          <w:bdr w:val="none" w:sz="0" w:space="0" w:color="auto" w:frame="1"/>
          <w:shd w:val="clear" w:color="auto" w:fill="FFFFFF"/>
        </w:rPr>
        <w:t>în afara indicațiilor standard pentru pacienți non-COVID.</w:t>
      </w:r>
    </w:p>
    <w:p w14:paraId="2AFB3FA4" w14:textId="59B7D470"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Pentru profilaxia TVP/TEP la pacientul cu COVID-19, nu se recomandă anticoagularea cu dozele terapeutice.</w:t>
      </w:r>
    </w:p>
    <w:p w14:paraId="63AFD44D" w14:textId="1B8B4C53"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Pacienții spitalizați pentru COVID-19 </w:t>
      </w:r>
      <w:r w:rsidRPr="004D2FCE">
        <w:rPr>
          <w:rFonts w:ascii="Times New Roman" w:eastAsia="Times New Roman" w:hAnsi="Times New Roman" w:cs="Times New Roman"/>
          <w:b/>
          <w:sz w:val="24"/>
          <w:szCs w:val="24"/>
          <w:bdr w:val="none" w:sz="0" w:space="0" w:color="auto" w:frame="1"/>
          <w:shd w:val="clear" w:color="auto" w:fill="FFFFFF"/>
        </w:rPr>
        <w:t>nu vor fi externați cu recomandarea de rutină de terapie anticoagulantă profilactică la domiciliu</w:t>
      </w:r>
      <w:r w:rsidRPr="004D2FCE">
        <w:rPr>
          <w:rFonts w:ascii="Times New Roman" w:eastAsia="Times New Roman" w:hAnsi="Times New Roman" w:cs="Times New Roman"/>
          <w:sz w:val="24"/>
          <w:szCs w:val="24"/>
          <w:bdr w:val="none" w:sz="0" w:space="0" w:color="auto" w:frame="1"/>
          <w:shd w:val="clear" w:color="auto" w:fill="FFFFFF"/>
        </w:rPr>
        <w:t>, cu excepția pacienților cu risc mare de tromboză și risc mic de sângerare, reprezentat de (tabelul B3-3):</w:t>
      </w:r>
    </w:p>
    <w:p w14:paraId="57CBE8DD" w14:textId="47C8E2F1" w:rsidR="009065A8" w:rsidRPr="004D2FCE" w:rsidRDefault="00022853" w:rsidP="00C14E42">
      <w:pPr>
        <w:pStyle w:val="ListParagraph"/>
        <w:numPr>
          <w:ilvl w:val="2"/>
          <w:numId w:val="22"/>
        </w:numPr>
        <w:tabs>
          <w:tab w:val="left" w:pos="540"/>
        </w:tabs>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scor IMPROVE-VTE ≥ 4;</w:t>
      </w:r>
    </w:p>
    <w:p w14:paraId="60FB4604" w14:textId="15A5F009" w:rsidR="009065A8" w:rsidRPr="004D2FCE" w:rsidRDefault="00022853" w:rsidP="00C14E42">
      <w:pPr>
        <w:pStyle w:val="ListParagraph"/>
        <w:numPr>
          <w:ilvl w:val="2"/>
          <w:numId w:val="22"/>
        </w:numPr>
        <w:tabs>
          <w:tab w:val="left" w:pos="540"/>
        </w:tabs>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lastRenderedPageBreak/>
        <w:t>scor IMPROVE-VTE ≥ 2 și D-dimer &gt; 2 x limita superioară a normalului la internare.</w:t>
      </w:r>
    </w:p>
    <w:p w14:paraId="5413415D" w14:textId="22B9FA52" w:rsidR="009065A8" w:rsidRPr="004D2FCE" w:rsidRDefault="00022853" w:rsidP="00C14E42">
      <w:pPr>
        <w:pStyle w:val="ListParagraph"/>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În această situație se recomandă administrarea de enoxaparină 40 mg s.c. o dată/zi, dalteparină 5000 UI s.c. o dată/zi; sunt în evaluare utilizarea NOAC pentru aceste indicații; durata terapiei după externare este de maximum 40 de zile.</w:t>
      </w:r>
    </w:p>
    <w:p w14:paraId="63DE8AE3" w14:textId="60FA24E9"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Nu există suficiente argumente pentru screeningul de rutină al TVP, indiferent de valoarea markerilor trombotici, în absența semnelor sau simptomelor de TEV.</w:t>
      </w:r>
    </w:p>
    <w:p w14:paraId="73865B87" w14:textId="374AD42D"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Evaluarea posibilității de afectare tromboembolică trebuie considerată la orice pacient cu deteriorare rapidă cardiacă, pulmonară sau neurologică și în cazul unor semne acute, localizate de hipoperfuzie periferică.</w:t>
      </w:r>
    </w:p>
    <w:p w14:paraId="29B6B5EE" w14:textId="0323D960"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În cazul pacienților cu trombocitopenie heparin-indusă poate fi utilizată fondaparina.</w:t>
      </w:r>
    </w:p>
    <w:p w14:paraId="4421132F" w14:textId="2B44D413" w:rsidR="009065A8" w:rsidRPr="004D2FCE"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La pacienți cu contraindicații ferme de anticoagulare se vor folosi mijloace mecanice de profilaxie de compresie (ciorapi cu compresie gradată etc.).</w:t>
      </w:r>
    </w:p>
    <w:p w14:paraId="7DF84261" w14:textId="77777777" w:rsidR="009065A8" w:rsidRPr="004D2FCE" w:rsidRDefault="009065A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8178324" w14:textId="77777777" w:rsidR="009065A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Copiii spitalizați pentru COVID-19</w:t>
      </w:r>
    </w:p>
    <w:p w14:paraId="616E2647" w14:textId="790ED850" w:rsidR="009065A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Pentru copiii spitalizați cu COVID-19 indicațiile și modalitățile (medicație, doze) de profilaxie antitrombotică vor fi stabilite în baza consultului medicului de specialitate.</w:t>
      </w:r>
    </w:p>
    <w:p w14:paraId="6C9B6AF2" w14:textId="77777777" w:rsidR="009065A8" w:rsidRPr="004D2FCE" w:rsidRDefault="009065A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E269099" w14:textId="77777777" w:rsidR="009065A8"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Doza terapeutică de anticoagulant</w:t>
      </w:r>
    </w:p>
    <w:p w14:paraId="19589CD3" w14:textId="4A56BDBF" w:rsidR="009065A8" w:rsidRPr="004D2FCE" w:rsidRDefault="00022853" w:rsidP="009065A8">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a)</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Pacienții COVID-19 care suferă o complicație tromboembolică sau au o suspiciune înaltă pentru o asemenea complicație vor fi tratați cu doza terapeutică de anticoagulant, conform protocoalelor pentru pacienții non-COVID (tabelul B3-2).</w:t>
      </w:r>
    </w:p>
    <w:p w14:paraId="625126A8" w14:textId="77777777" w:rsidR="00B07ADA"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Pacienții care au nevoie de ECMO, terapie continuă de substituție renală sau care au tromboze de cateter sau filtre extracorporeale vor fi tratați cu doza terapeutică de anticoagulant conform ghidurilor pentru pacienții non-COVID.</w:t>
      </w:r>
    </w:p>
    <w:p w14:paraId="7784F98E" w14:textId="5E44E773" w:rsidR="009065A8"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c)</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Tratamentul trombolitic în cazul TEV va fi administrat cu indicațiile, preparatele și dozele folosite în cazul pacienților non-COVID.</w:t>
      </w:r>
    </w:p>
    <w:p w14:paraId="55B63687" w14:textId="77777777" w:rsidR="009065A8" w:rsidRPr="004D2FCE" w:rsidRDefault="009065A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CBA2705" w14:textId="77777777" w:rsidR="009065A8"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Recomandări pentru gravide sau femei care alăptează</w:t>
      </w:r>
    </w:p>
    <w:p w14:paraId="6C1EB790" w14:textId="27232D05" w:rsidR="009065A8" w:rsidRPr="004D2FCE"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Dacă există indicații prealabile pentru terapie antitrombotică, această terapie se va continua.</w:t>
      </w:r>
    </w:p>
    <w:p w14:paraId="31124199" w14:textId="346E8D44" w:rsidR="009065A8" w:rsidRPr="004D2FCE"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Gravidele internate pentru forme severe de COVID-19 vor primi anticoagulare tromboprofilactică în absența contraindicațiilor, HGMM fiind preferate heparinei nefracționate.</w:t>
      </w:r>
    </w:p>
    <w:p w14:paraId="44F2EC2F" w14:textId="54F7429F" w:rsidR="009065A8" w:rsidRPr="004D2FCE"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Nu se recomandă continuarea de rutină a profilaxiei antitrombotice după externare.</w:t>
      </w:r>
    </w:p>
    <w:p w14:paraId="76162D35" w14:textId="721C292F" w:rsidR="009065A8" w:rsidRPr="004D2FCE"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Dozarea D-dimer are importanță limitată la gravide din cauza creșterii fiziologice în timpul perioadei de gestație.</w:t>
      </w:r>
    </w:p>
    <w:p w14:paraId="380831E8" w14:textId="0530A531" w:rsidR="009065A8" w:rsidRPr="004D2FCE"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Nu există date privind siguranța NOAC la gravide, în consecință nu se recomandă utilizarea lor.</w:t>
      </w:r>
    </w:p>
    <w:p w14:paraId="23FD9200" w14:textId="7CAD1D7A" w:rsidR="009065A8" w:rsidRPr="004D2FCE"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Utilizarea AVK este contraindicată în principal în timpul primului trimestru, din cauza riscului teratogen.</w:t>
      </w:r>
    </w:p>
    <w:p w14:paraId="37E78F35" w14:textId="789603DE" w:rsidR="009065A8" w:rsidRPr="004D2FCE"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HGMM și AVK nu se concentrează în laptele matern și pot fi utilizate la femeile care alaptează.</w:t>
      </w:r>
    </w:p>
    <w:p w14:paraId="77EE4B94" w14:textId="7C412E77" w:rsidR="00022853" w:rsidRPr="004D2FCE"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Anticoagularea în timpul travaliului la pacientele cu COVID-19 presupune protocol și planificare specială.</w:t>
      </w:r>
    </w:p>
    <w:p w14:paraId="46B1CB10" w14:textId="77777777" w:rsidR="00022853" w:rsidRPr="004D2FCE" w:rsidRDefault="00022853" w:rsidP="00B07ADA">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2DC7F7AF"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Tabel B3-1. Preparate și doze pentru NOAC în indicațiile aprobate</w:t>
      </w:r>
    </w:p>
    <w:p w14:paraId="1470209D" w14:textId="77777777" w:rsidR="00B07ADA" w:rsidRPr="004D2FCE"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Style w:val="TableGrid"/>
        <w:tblW w:w="10116" w:type="dxa"/>
        <w:tblInd w:w="85" w:type="dxa"/>
        <w:tblLook w:val="04A0" w:firstRow="1" w:lastRow="0" w:firstColumn="1" w:lastColumn="0" w:noHBand="0" w:noVBand="1"/>
      </w:tblPr>
      <w:tblGrid>
        <w:gridCol w:w="1585"/>
        <w:gridCol w:w="4137"/>
        <w:gridCol w:w="4394"/>
      </w:tblGrid>
      <w:tr w:rsidR="004D2FCE" w:rsidRPr="004D2FCE" w14:paraId="34D4E32D" w14:textId="77777777" w:rsidTr="001F7E60">
        <w:tc>
          <w:tcPr>
            <w:tcW w:w="1585" w:type="dxa"/>
          </w:tcPr>
          <w:p w14:paraId="5B57902B" w14:textId="77777777" w:rsidR="00B07ADA" w:rsidRPr="004D2FCE" w:rsidRDefault="00B07ADA" w:rsidP="00182DD4">
            <w:pPr>
              <w:jc w:val="cente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Anticoagulant</w:t>
            </w:r>
          </w:p>
        </w:tc>
        <w:tc>
          <w:tcPr>
            <w:tcW w:w="4137" w:type="dxa"/>
          </w:tcPr>
          <w:p w14:paraId="4942B250" w14:textId="77777777" w:rsidR="00B07ADA" w:rsidRPr="004D2FCE" w:rsidRDefault="00B07ADA" w:rsidP="00182DD4">
            <w:pPr>
              <w:jc w:val="center"/>
              <w:rPr>
                <w:rFonts w:ascii="Times New Roman" w:eastAsia="Calibri Light" w:hAnsi="Times New Roman" w:cs="Times New Roman"/>
                <w:sz w:val="20"/>
                <w:szCs w:val="20"/>
                <w:vertAlign w:val="superscript"/>
              </w:rPr>
            </w:pPr>
            <w:proofErr w:type="spellStart"/>
            <w:r w:rsidRPr="004D2FCE">
              <w:rPr>
                <w:rFonts w:ascii="Times New Roman" w:eastAsia="Calibri Light" w:hAnsi="Times New Roman" w:cs="Times New Roman"/>
                <w:sz w:val="20"/>
                <w:szCs w:val="20"/>
              </w:rPr>
              <w:t>Fibrilație</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atrială</w:t>
            </w:r>
            <w:proofErr w:type="spellEnd"/>
          </w:p>
        </w:tc>
        <w:tc>
          <w:tcPr>
            <w:tcW w:w="4394" w:type="dxa"/>
          </w:tcPr>
          <w:p w14:paraId="1EBF8819" w14:textId="77777777" w:rsidR="00B07ADA" w:rsidRPr="004D2FCE" w:rsidRDefault="00B07ADA" w:rsidP="00182DD4">
            <w:pPr>
              <w:jc w:val="center"/>
              <w:rPr>
                <w:rFonts w:ascii="Times New Roman" w:eastAsia="Calibri Light" w:hAnsi="Times New Roman" w:cs="Times New Roman"/>
                <w:sz w:val="20"/>
                <w:szCs w:val="20"/>
                <w:vertAlign w:val="superscript"/>
              </w:rPr>
            </w:pPr>
            <w:r w:rsidRPr="004D2FCE">
              <w:rPr>
                <w:rFonts w:ascii="Times New Roman" w:eastAsia="Calibri Light" w:hAnsi="Times New Roman" w:cs="Times New Roman"/>
                <w:sz w:val="20"/>
                <w:szCs w:val="20"/>
              </w:rPr>
              <w:t>TVP / TEV</w:t>
            </w:r>
          </w:p>
        </w:tc>
      </w:tr>
      <w:tr w:rsidR="004D2FCE" w:rsidRPr="004D2FCE" w14:paraId="44C4CE6A" w14:textId="77777777" w:rsidTr="001F7E60">
        <w:tc>
          <w:tcPr>
            <w:tcW w:w="1585" w:type="dxa"/>
          </w:tcPr>
          <w:p w14:paraId="661C02BF"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Apixaban</w:t>
            </w:r>
          </w:p>
        </w:tc>
        <w:tc>
          <w:tcPr>
            <w:tcW w:w="4137" w:type="dxa"/>
          </w:tcPr>
          <w:p w14:paraId="5BA24B93"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5 mg - 2x /</w:t>
            </w:r>
            <w:proofErr w:type="spellStart"/>
            <w:r w:rsidRPr="004D2FCE">
              <w:rPr>
                <w:rFonts w:ascii="Times New Roman" w:eastAsia="Calibri Light" w:hAnsi="Times New Roman" w:cs="Times New Roman"/>
                <w:sz w:val="20"/>
                <w:szCs w:val="20"/>
              </w:rPr>
              <w:t>zi</w:t>
            </w:r>
            <w:proofErr w:type="spellEnd"/>
          </w:p>
          <w:p w14:paraId="7C3A3FB5"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sau</w:t>
            </w:r>
            <w:proofErr w:type="spellEnd"/>
          </w:p>
          <w:p w14:paraId="61AB05E0"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2.5 mg - 2x /</w:t>
            </w:r>
            <w:proofErr w:type="spellStart"/>
            <w:r w:rsidRPr="004D2FCE">
              <w:rPr>
                <w:rFonts w:ascii="Times New Roman" w:eastAsia="Calibri Light" w:hAnsi="Times New Roman" w:cs="Times New Roman"/>
                <w:sz w:val="20"/>
                <w:szCs w:val="20"/>
              </w:rPr>
              <w:t>zi</w:t>
            </w:r>
            <w:proofErr w:type="spellEnd"/>
          </w:p>
          <w:p w14:paraId="790D5DC7"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dacă</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există</w:t>
            </w:r>
            <w:proofErr w:type="spellEnd"/>
            <w:r w:rsidRPr="004D2FCE">
              <w:rPr>
                <w:rFonts w:ascii="Times New Roman" w:eastAsia="Calibri Light" w:hAnsi="Times New Roman" w:cs="Times New Roman"/>
                <w:sz w:val="20"/>
                <w:szCs w:val="20"/>
              </w:rPr>
              <w:t xml:space="preserve"> </w:t>
            </w:r>
            <w:r w:rsidRPr="004D2FCE">
              <w:rPr>
                <w:rFonts w:ascii="Times New Roman" w:hAnsi="Times New Roman" w:cs="Times New Roman"/>
                <w:sz w:val="20"/>
                <w:szCs w:val="20"/>
              </w:rPr>
              <w:t xml:space="preserve">≥2 </w:t>
            </w:r>
            <w:r w:rsidRPr="004D2FCE">
              <w:rPr>
                <w:rFonts w:ascii="Times New Roman" w:eastAsia="Calibri Light" w:hAnsi="Times New Roman" w:cs="Times New Roman"/>
                <w:sz w:val="20"/>
                <w:szCs w:val="20"/>
              </w:rPr>
              <w:t xml:space="preserve">din </w:t>
            </w:r>
            <w:proofErr w:type="spellStart"/>
            <w:r w:rsidRPr="004D2FCE">
              <w:rPr>
                <w:rFonts w:ascii="Times New Roman" w:eastAsia="Calibri Light" w:hAnsi="Times New Roman" w:cs="Times New Roman"/>
                <w:sz w:val="20"/>
                <w:szCs w:val="20"/>
              </w:rPr>
              <w:t>următoarele</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condiții</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vârsta</w:t>
            </w:r>
            <w:proofErr w:type="spellEnd"/>
            <w:r w:rsidRPr="004D2FCE">
              <w:rPr>
                <w:rFonts w:ascii="Times New Roman" w:eastAsia="Calibri Light" w:hAnsi="Times New Roman" w:cs="Times New Roman"/>
                <w:sz w:val="20"/>
                <w:szCs w:val="20"/>
              </w:rPr>
              <w:t xml:space="preserve"> </w:t>
            </w:r>
            <w:r w:rsidRPr="004D2FCE">
              <w:rPr>
                <w:rFonts w:ascii="Times New Roman" w:hAnsi="Times New Roman" w:cs="Times New Roman"/>
                <w:sz w:val="20"/>
                <w:szCs w:val="20"/>
              </w:rPr>
              <w:t xml:space="preserve">≥80 ani; </w:t>
            </w:r>
            <w:r w:rsidRPr="004D2FCE">
              <w:rPr>
                <w:rFonts w:ascii="Times New Roman" w:eastAsia="Calibri Light" w:hAnsi="Times New Roman" w:cs="Times New Roman"/>
                <w:sz w:val="20"/>
                <w:szCs w:val="20"/>
              </w:rPr>
              <w:t>G ≤60 kg; Cr serică</w:t>
            </w:r>
            <w:r w:rsidRPr="004D2FCE">
              <w:rPr>
                <w:rFonts w:ascii="Times New Roman" w:hAnsi="Times New Roman" w:cs="Times New Roman"/>
                <w:sz w:val="20"/>
                <w:szCs w:val="20"/>
              </w:rPr>
              <w:t>≥1.5 mg/dl</w:t>
            </w:r>
          </w:p>
        </w:tc>
        <w:tc>
          <w:tcPr>
            <w:tcW w:w="4394" w:type="dxa"/>
          </w:tcPr>
          <w:p w14:paraId="10D3A1B8"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5 mg - 2x /</w:t>
            </w:r>
            <w:proofErr w:type="spellStart"/>
            <w:r w:rsidRPr="004D2FCE">
              <w:rPr>
                <w:rFonts w:ascii="Times New Roman" w:eastAsia="Calibri Light" w:hAnsi="Times New Roman" w:cs="Times New Roman"/>
                <w:sz w:val="20"/>
                <w:szCs w:val="20"/>
              </w:rPr>
              <w:t>zi</w:t>
            </w:r>
            <w:proofErr w:type="spellEnd"/>
          </w:p>
          <w:p w14:paraId="21EFBE3A"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după</w:t>
            </w:r>
            <w:proofErr w:type="spellEnd"/>
            <w:r w:rsidRPr="004D2FCE">
              <w:rPr>
                <w:rFonts w:ascii="Times New Roman" w:eastAsia="Calibri Light" w:hAnsi="Times New Roman" w:cs="Times New Roman"/>
                <w:sz w:val="20"/>
                <w:szCs w:val="20"/>
              </w:rPr>
              <w:t xml:space="preserve"> 6 </w:t>
            </w:r>
            <w:proofErr w:type="spellStart"/>
            <w:r w:rsidRPr="004D2FCE">
              <w:rPr>
                <w:rFonts w:ascii="Times New Roman" w:eastAsia="Calibri Light" w:hAnsi="Times New Roman" w:cs="Times New Roman"/>
                <w:sz w:val="20"/>
                <w:szCs w:val="20"/>
              </w:rPr>
              <w:t>luni</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dacă</w:t>
            </w:r>
            <w:proofErr w:type="spellEnd"/>
            <w:r w:rsidRPr="004D2FCE">
              <w:rPr>
                <w:rFonts w:ascii="Times New Roman" w:eastAsia="Calibri Light" w:hAnsi="Times New Roman" w:cs="Times New Roman"/>
                <w:sz w:val="20"/>
                <w:szCs w:val="20"/>
              </w:rPr>
              <w:t xml:space="preserve"> se </w:t>
            </w:r>
            <w:proofErr w:type="spellStart"/>
            <w:r w:rsidRPr="004D2FCE">
              <w:rPr>
                <w:rFonts w:ascii="Times New Roman" w:eastAsia="Calibri Light" w:hAnsi="Times New Roman" w:cs="Times New Roman"/>
                <w:sz w:val="20"/>
                <w:szCs w:val="20"/>
              </w:rPr>
              <w:t>continuă</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în</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profilaxie</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secundară</w:t>
            </w:r>
            <w:proofErr w:type="spellEnd"/>
            <w:r w:rsidRPr="004D2FCE">
              <w:rPr>
                <w:rFonts w:ascii="Times New Roman" w:eastAsia="Calibri Light" w:hAnsi="Times New Roman" w:cs="Times New Roman"/>
                <w:sz w:val="20"/>
                <w:szCs w:val="20"/>
              </w:rPr>
              <w:t xml:space="preserve"> </w:t>
            </w:r>
          </w:p>
          <w:p w14:paraId="05617B42"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2.5 mg - 2x /</w:t>
            </w:r>
            <w:proofErr w:type="spellStart"/>
            <w:r w:rsidRPr="004D2FCE">
              <w:rPr>
                <w:rFonts w:ascii="Times New Roman" w:eastAsia="Calibri Light" w:hAnsi="Times New Roman" w:cs="Times New Roman"/>
                <w:sz w:val="20"/>
                <w:szCs w:val="20"/>
              </w:rPr>
              <w:t>zi</w:t>
            </w:r>
            <w:proofErr w:type="spellEnd"/>
          </w:p>
          <w:p w14:paraId="07C251B2" w14:textId="77777777" w:rsidR="00B07ADA" w:rsidRPr="004D2FCE" w:rsidRDefault="00B07ADA" w:rsidP="00182DD4">
            <w:pPr>
              <w:rPr>
                <w:rFonts w:ascii="Times New Roman" w:eastAsia="Calibri Light" w:hAnsi="Times New Roman" w:cs="Times New Roman"/>
                <w:sz w:val="20"/>
                <w:szCs w:val="20"/>
              </w:rPr>
            </w:pPr>
          </w:p>
        </w:tc>
      </w:tr>
      <w:tr w:rsidR="004D2FCE" w:rsidRPr="004D2FCE" w14:paraId="0DCAAB5B" w14:textId="77777777" w:rsidTr="001F7E60">
        <w:tc>
          <w:tcPr>
            <w:tcW w:w="1585" w:type="dxa"/>
          </w:tcPr>
          <w:p w14:paraId="4D2F8D8D"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Edoxaban</w:t>
            </w:r>
            <w:proofErr w:type="spellEnd"/>
          </w:p>
        </w:tc>
        <w:tc>
          <w:tcPr>
            <w:tcW w:w="4137" w:type="dxa"/>
          </w:tcPr>
          <w:p w14:paraId="34563A48"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 xml:space="preserve">60 mg o </w:t>
            </w:r>
            <w:proofErr w:type="spellStart"/>
            <w:r w:rsidRPr="004D2FCE">
              <w:rPr>
                <w:rFonts w:ascii="Times New Roman" w:eastAsia="Calibri Light" w:hAnsi="Times New Roman" w:cs="Times New Roman"/>
                <w:sz w:val="20"/>
                <w:szCs w:val="20"/>
              </w:rPr>
              <w:t>dată</w:t>
            </w:r>
            <w:proofErr w:type="spellEnd"/>
            <w:r w:rsidRPr="004D2FCE">
              <w:rPr>
                <w:rFonts w:ascii="Times New Roman" w:eastAsia="Calibri Light" w:hAnsi="Times New Roman" w:cs="Times New Roman"/>
                <w:sz w:val="20"/>
                <w:szCs w:val="20"/>
              </w:rPr>
              <w:t>/</w:t>
            </w:r>
            <w:proofErr w:type="spellStart"/>
            <w:r w:rsidRPr="004D2FCE">
              <w:rPr>
                <w:rFonts w:ascii="Times New Roman" w:eastAsia="Calibri Light" w:hAnsi="Times New Roman" w:cs="Times New Roman"/>
                <w:sz w:val="20"/>
                <w:szCs w:val="20"/>
              </w:rPr>
              <w:t>zi</w:t>
            </w:r>
            <w:proofErr w:type="spellEnd"/>
          </w:p>
          <w:p w14:paraId="6B06B0BF"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sau</w:t>
            </w:r>
            <w:proofErr w:type="spellEnd"/>
          </w:p>
          <w:p w14:paraId="7AB7925C" w14:textId="77777777" w:rsidR="00B07ADA" w:rsidRPr="004D2FCE" w:rsidRDefault="00B07ADA" w:rsidP="00182DD4">
            <w:pPr>
              <w:rPr>
                <w:rFonts w:ascii="Times New Roman" w:hAnsi="Times New Roman" w:cs="Times New Roman"/>
                <w:sz w:val="20"/>
                <w:szCs w:val="20"/>
              </w:rPr>
            </w:pPr>
            <w:r w:rsidRPr="004D2FCE">
              <w:rPr>
                <w:rFonts w:ascii="Times New Roman" w:hAnsi="Times New Roman" w:cs="Times New Roman"/>
                <w:sz w:val="20"/>
                <w:szCs w:val="20"/>
              </w:rPr>
              <w:t xml:space="preserve">30 mg o </w:t>
            </w:r>
            <w:proofErr w:type="spellStart"/>
            <w:r w:rsidRPr="004D2FCE">
              <w:rPr>
                <w:rFonts w:ascii="Times New Roman" w:hAnsi="Times New Roman" w:cs="Times New Roman"/>
                <w:sz w:val="20"/>
                <w:szCs w:val="20"/>
              </w:rPr>
              <w:t>dată</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zi</w:t>
            </w:r>
            <w:proofErr w:type="spellEnd"/>
          </w:p>
          <w:p w14:paraId="6F76C0BD" w14:textId="77777777" w:rsidR="00B07ADA" w:rsidRPr="004D2FCE" w:rsidRDefault="00B07ADA" w:rsidP="00182DD4">
            <w:pPr>
              <w:rPr>
                <w:rFonts w:ascii="Times New Roman" w:hAnsi="Times New Roman" w:cs="Times New Roman"/>
                <w:sz w:val="20"/>
                <w:szCs w:val="20"/>
              </w:rPr>
            </w:pPr>
            <w:proofErr w:type="spellStart"/>
            <w:r w:rsidRPr="004D2FCE">
              <w:rPr>
                <w:rFonts w:ascii="Times New Roman" w:eastAsia="Calibri Light" w:hAnsi="Times New Roman" w:cs="Times New Roman"/>
                <w:sz w:val="20"/>
                <w:szCs w:val="20"/>
              </w:rPr>
              <w:t>dacă</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există</w:t>
            </w:r>
            <w:proofErr w:type="spellEnd"/>
            <w:r w:rsidRPr="004D2FCE">
              <w:rPr>
                <w:rFonts w:ascii="Times New Roman" w:eastAsia="Calibri Light" w:hAnsi="Times New Roman" w:cs="Times New Roman"/>
                <w:sz w:val="20"/>
                <w:szCs w:val="20"/>
              </w:rPr>
              <w:t xml:space="preserve"> </w:t>
            </w:r>
            <w:r w:rsidRPr="004D2FCE">
              <w:rPr>
                <w:rFonts w:ascii="Times New Roman" w:hAnsi="Times New Roman" w:cs="Times New Roman"/>
                <w:sz w:val="20"/>
                <w:szCs w:val="20"/>
              </w:rPr>
              <w:t xml:space="preserve">≥una </w:t>
            </w:r>
            <w:r w:rsidRPr="004D2FCE">
              <w:rPr>
                <w:rFonts w:ascii="Times New Roman" w:eastAsia="Calibri Light" w:hAnsi="Times New Roman" w:cs="Times New Roman"/>
                <w:sz w:val="20"/>
                <w:szCs w:val="20"/>
              </w:rPr>
              <w:t xml:space="preserve">din </w:t>
            </w:r>
            <w:proofErr w:type="spellStart"/>
            <w:r w:rsidRPr="004D2FCE">
              <w:rPr>
                <w:rFonts w:ascii="Times New Roman" w:eastAsia="Calibri Light" w:hAnsi="Times New Roman" w:cs="Times New Roman"/>
                <w:sz w:val="20"/>
                <w:szCs w:val="20"/>
              </w:rPr>
              <w:t>următoarele</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condiții</w:t>
            </w:r>
            <w:proofErr w:type="spellEnd"/>
            <w:r w:rsidRPr="004D2FCE">
              <w:rPr>
                <w:rFonts w:ascii="Times New Roman" w:eastAsia="Calibri Light" w:hAnsi="Times New Roman" w:cs="Times New Roman"/>
                <w:sz w:val="20"/>
                <w:szCs w:val="20"/>
              </w:rPr>
              <w:t xml:space="preserve">: G ≤60 kg; </w:t>
            </w:r>
            <w:proofErr w:type="spellStart"/>
            <w:r w:rsidRPr="004D2FCE">
              <w:rPr>
                <w:rFonts w:ascii="Times New Roman" w:eastAsia="Calibri Light" w:hAnsi="Times New Roman" w:cs="Times New Roman"/>
                <w:sz w:val="20"/>
                <w:szCs w:val="20"/>
              </w:rPr>
              <w:t>ClCr</w:t>
            </w:r>
            <w:proofErr w:type="spellEnd"/>
            <w:r w:rsidRPr="004D2FCE">
              <w:rPr>
                <w:rFonts w:ascii="Times New Roman" w:eastAsia="Calibri Light" w:hAnsi="Times New Roman" w:cs="Times New Roman"/>
                <w:sz w:val="20"/>
                <w:szCs w:val="20"/>
              </w:rPr>
              <w:t xml:space="preserve"> 15-50 ml/min;</w:t>
            </w:r>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folosire</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concomitentă</w:t>
            </w:r>
            <w:proofErr w:type="spellEnd"/>
            <w:r w:rsidRPr="004D2FCE">
              <w:rPr>
                <w:rFonts w:ascii="Times New Roman" w:hAnsi="Times New Roman" w:cs="Times New Roman"/>
                <w:sz w:val="20"/>
                <w:szCs w:val="20"/>
              </w:rPr>
              <w:t xml:space="preserve"> de inhibitor P-</w:t>
            </w:r>
            <w:proofErr w:type="spellStart"/>
            <w:r w:rsidRPr="004D2FCE">
              <w:rPr>
                <w:rFonts w:ascii="Times New Roman" w:hAnsi="Times New Roman" w:cs="Times New Roman"/>
                <w:sz w:val="20"/>
                <w:szCs w:val="20"/>
              </w:rPr>
              <w:t>gp</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ciclosporină</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dronedaronă</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eritromicină</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ketoconazol</w:t>
            </w:r>
            <w:proofErr w:type="spellEnd"/>
            <w:r w:rsidRPr="004D2FCE">
              <w:rPr>
                <w:rFonts w:ascii="Times New Roman" w:hAnsi="Times New Roman" w:cs="Times New Roman"/>
                <w:sz w:val="20"/>
                <w:szCs w:val="20"/>
              </w:rPr>
              <w:t>)</w:t>
            </w:r>
          </w:p>
        </w:tc>
        <w:tc>
          <w:tcPr>
            <w:tcW w:w="4394" w:type="dxa"/>
          </w:tcPr>
          <w:p w14:paraId="39CD1376"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 xml:space="preserve">60 mg o </w:t>
            </w:r>
            <w:proofErr w:type="spellStart"/>
            <w:r w:rsidRPr="004D2FCE">
              <w:rPr>
                <w:rFonts w:ascii="Times New Roman" w:eastAsia="Calibri Light" w:hAnsi="Times New Roman" w:cs="Times New Roman"/>
                <w:sz w:val="20"/>
                <w:szCs w:val="20"/>
              </w:rPr>
              <w:t>dată</w:t>
            </w:r>
            <w:proofErr w:type="spellEnd"/>
            <w:r w:rsidRPr="004D2FCE">
              <w:rPr>
                <w:rFonts w:ascii="Times New Roman" w:eastAsia="Calibri Light" w:hAnsi="Times New Roman" w:cs="Times New Roman"/>
                <w:sz w:val="20"/>
                <w:szCs w:val="20"/>
              </w:rPr>
              <w:t>/</w:t>
            </w:r>
            <w:proofErr w:type="spellStart"/>
            <w:r w:rsidRPr="004D2FCE">
              <w:rPr>
                <w:rFonts w:ascii="Times New Roman" w:eastAsia="Calibri Light" w:hAnsi="Times New Roman" w:cs="Times New Roman"/>
                <w:sz w:val="20"/>
                <w:szCs w:val="20"/>
              </w:rPr>
              <w:t>zi</w:t>
            </w:r>
            <w:proofErr w:type="spellEnd"/>
          </w:p>
          <w:p w14:paraId="0B707900"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sau</w:t>
            </w:r>
            <w:proofErr w:type="spellEnd"/>
          </w:p>
          <w:p w14:paraId="74DEB463" w14:textId="77777777" w:rsidR="00B07ADA" w:rsidRPr="004D2FCE" w:rsidRDefault="00B07ADA" w:rsidP="00182DD4">
            <w:pPr>
              <w:rPr>
                <w:rFonts w:ascii="Times New Roman" w:hAnsi="Times New Roman" w:cs="Times New Roman"/>
                <w:sz w:val="20"/>
                <w:szCs w:val="20"/>
              </w:rPr>
            </w:pPr>
            <w:r w:rsidRPr="004D2FCE">
              <w:rPr>
                <w:rFonts w:ascii="Times New Roman" w:hAnsi="Times New Roman" w:cs="Times New Roman"/>
                <w:sz w:val="20"/>
                <w:szCs w:val="20"/>
              </w:rPr>
              <w:t xml:space="preserve">30 mg o </w:t>
            </w:r>
            <w:proofErr w:type="spellStart"/>
            <w:r w:rsidRPr="004D2FCE">
              <w:rPr>
                <w:rFonts w:ascii="Times New Roman" w:hAnsi="Times New Roman" w:cs="Times New Roman"/>
                <w:sz w:val="20"/>
                <w:szCs w:val="20"/>
              </w:rPr>
              <w:t>dată</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zi</w:t>
            </w:r>
            <w:proofErr w:type="spellEnd"/>
          </w:p>
          <w:p w14:paraId="1EBB2D6F"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dacă</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exista</w:t>
            </w:r>
            <w:proofErr w:type="spellEnd"/>
            <w:r w:rsidRPr="004D2FCE">
              <w:rPr>
                <w:rFonts w:ascii="Times New Roman" w:eastAsia="Calibri Light" w:hAnsi="Times New Roman" w:cs="Times New Roman"/>
                <w:sz w:val="20"/>
                <w:szCs w:val="20"/>
              </w:rPr>
              <w:t xml:space="preserve"> </w:t>
            </w:r>
            <w:r w:rsidRPr="004D2FCE">
              <w:rPr>
                <w:rFonts w:ascii="Times New Roman" w:hAnsi="Times New Roman" w:cs="Times New Roman"/>
                <w:sz w:val="20"/>
                <w:szCs w:val="20"/>
              </w:rPr>
              <w:t xml:space="preserve">≥una </w:t>
            </w:r>
            <w:r w:rsidRPr="004D2FCE">
              <w:rPr>
                <w:rFonts w:ascii="Times New Roman" w:eastAsia="Calibri Light" w:hAnsi="Times New Roman" w:cs="Times New Roman"/>
                <w:sz w:val="20"/>
                <w:szCs w:val="20"/>
              </w:rPr>
              <w:t xml:space="preserve">din </w:t>
            </w:r>
            <w:proofErr w:type="spellStart"/>
            <w:r w:rsidRPr="004D2FCE">
              <w:rPr>
                <w:rFonts w:ascii="Times New Roman" w:eastAsia="Calibri Light" w:hAnsi="Times New Roman" w:cs="Times New Roman"/>
                <w:sz w:val="20"/>
                <w:szCs w:val="20"/>
              </w:rPr>
              <w:t>următoarele</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condiții</w:t>
            </w:r>
            <w:proofErr w:type="spellEnd"/>
            <w:r w:rsidRPr="004D2FCE">
              <w:rPr>
                <w:rFonts w:ascii="Times New Roman" w:eastAsia="Calibri Light" w:hAnsi="Times New Roman" w:cs="Times New Roman"/>
                <w:sz w:val="20"/>
                <w:szCs w:val="20"/>
              </w:rPr>
              <w:t xml:space="preserve">: G ≤60 kg; </w:t>
            </w:r>
            <w:proofErr w:type="spellStart"/>
            <w:r w:rsidRPr="004D2FCE">
              <w:rPr>
                <w:rFonts w:ascii="Times New Roman" w:eastAsia="Calibri Light" w:hAnsi="Times New Roman" w:cs="Times New Roman"/>
                <w:sz w:val="20"/>
                <w:szCs w:val="20"/>
              </w:rPr>
              <w:t>ClCr</w:t>
            </w:r>
            <w:proofErr w:type="spellEnd"/>
            <w:r w:rsidRPr="004D2FCE">
              <w:rPr>
                <w:rFonts w:ascii="Times New Roman" w:eastAsia="Calibri Light" w:hAnsi="Times New Roman" w:cs="Times New Roman"/>
                <w:sz w:val="20"/>
                <w:szCs w:val="20"/>
              </w:rPr>
              <w:t xml:space="preserve"> 15-50 ml/min;</w:t>
            </w:r>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folosire</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concomitentă</w:t>
            </w:r>
            <w:proofErr w:type="spellEnd"/>
            <w:r w:rsidRPr="004D2FCE">
              <w:rPr>
                <w:rFonts w:ascii="Times New Roman" w:hAnsi="Times New Roman" w:cs="Times New Roman"/>
                <w:sz w:val="20"/>
                <w:szCs w:val="20"/>
              </w:rPr>
              <w:t xml:space="preserve"> de inhibitor P-</w:t>
            </w:r>
            <w:proofErr w:type="spellStart"/>
            <w:r w:rsidRPr="004D2FCE">
              <w:rPr>
                <w:rFonts w:ascii="Times New Roman" w:hAnsi="Times New Roman" w:cs="Times New Roman"/>
                <w:sz w:val="20"/>
                <w:szCs w:val="20"/>
              </w:rPr>
              <w:t>gp</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ciclosporină</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dronedaronă</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eritromicină</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ketoconazol</w:t>
            </w:r>
            <w:proofErr w:type="spellEnd"/>
            <w:r w:rsidRPr="004D2FCE">
              <w:rPr>
                <w:rFonts w:ascii="Times New Roman" w:hAnsi="Times New Roman" w:cs="Times New Roman"/>
                <w:sz w:val="20"/>
                <w:szCs w:val="20"/>
              </w:rPr>
              <w:t>)</w:t>
            </w:r>
          </w:p>
        </w:tc>
      </w:tr>
      <w:tr w:rsidR="004D2FCE" w:rsidRPr="004D2FCE" w14:paraId="322F95A3" w14:textId="77777777" w:rsidTr="001F7E60">
        <w:tc>
          <w:tcPr>
            <w:tcW w:w="1585" w:type="dxa"/>
          </w:tcPr>
          <w:p w14:paraId="331C8618"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Rivaroxaban</w:t>
            </w:r>
          </w:p>
        </w:tc>
        <w:tc>
          <w:tcPr>
            <w:tcW w:w="4137" w:type="dxa"/>
          </w:tcPr>
          <w:p w14:paraId="68511DDC"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 xml:space="preserve">20 mg o </w:t>
            </w:r>
            <w:proofErr w:type="spellStart"/>
            <w:r w:rsidRPr="004D2FCE">
              <w:rPr>
                <w:rFonts w:ascii="Times New Roman" w:eastAsia="Calibri Light" w:hAnsi="Times New Roman" w:cs="Times New Roman"/>
                <w:sz w:val="20"/>
                <w:szCs w:val="20"/>
              </w:rPr>
              <w:t>dată</w:t>
            </w:r>
            <w:proofErr w:type="spellEnd"/>
            <w:r w:rsidRPr="004D2FCE">
              <w:rPr>
                <w:rFonts w:ascii="Times New Roman" w:eastAsia="Calibri Light" w:hAnsi="Times New Roman" w:cs="Times New Roman"/>
                <w:sz w:val="20"/>
                <w:szCs w:val="20"/>
              </w:rPr>
              <w:t>/</w:t>
            </w:r>
            <w:proofErr w:type="spellStart"/>
            <w:r w:rsidRPr="004D2FCE">
              <w:rPr>
                <w:rFonts w:ascii="Times New Roman" w:eastAsia="Calibri Light" w:hAnsi="Times New Roman" w:cs="Times New Roman"/>
                <w:sz w:val="20"/>
                <w:szCs w:val="20"/>
              </w:rPr>
              <w:t>zi</w:t>
            </w:r>
            <w:proofErr w:type="spellEnd"/>
          </w:p>
          <w:p w14:paraId="0AF36448"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sau</w:t>
            </w:r>
            <w:proofErr w:type="spellEnd"/>
          </w:p>
          <w:p w14:paraId="365ACC17" w14:textId="77777777" w:rsidR="00B07ADA" w:rsidRPr="004D2FCE" w:rsidRDefault="00B07ADA" w:rsidP="00182DD4">
            <w:pPr>
              <w:rPr>
                <w:rFonts w:ascii="Times New Roman" w:hAnsi="Times New Roman" w:cs="Times New Roman"/>
                <w:sz w:val="20"/>
                <w:szCs w:val="20"/>
              </w:rPr>
            </w:pPr>
            <w:r w:rsidRPr="004D2FCE">
              <w:rPr>
                <w:rFonts w:ascii="Times New Roman" w:hAnsi="Times New Roman" w:cs="Times New Roman"/>
                <w:sz w:val="20"/>
                <w:szCs w:val="20"/>
              </w:rPr>
              <w:t xml:space="preserve">15 mg o </w:t>
            </w:r>
            <w:proofErr w:type="spellStart"/>
            <w:r w:rsidRPr="004D2FCE">
              <w:rPr>
                <w:rFonts w:ascii="Times New Roman" w:hAnsi="Times New Roman" w:cs="Times New Roman"/>
                <w:sz w:val="20"/>
                <w:szCs w:val="20"/>
              </w:rPr>
              <w:t>dată</w:t>
            </w:r>
            <w:proofErr w:type="spellEnd"/>
            <w:r w:rsidRPr="004D2FCE">
              <w:rPr>
                <w:rFonts w:ascii="Times New Roman" w:hAnsi="Times New Roman" w:cs="Times New Roman"/>
                <w:sz w:val="20"/>
                <w:szCs w:val="20"/>
              </w:rPr>
              <w:t xml:space="preserve"> /</w:t>
            </w:r>
            <w:proofErr w:type="spellStart"/>
            <w:r w:rsidRPr="004D2FCE">
              <w:rPr>
                <w:rFonts w:ascii="Times New Roman" w:hAnsi="Times New Roman" w:cs="Times New Roman"/>
                <w:sz w:val="20"/>
                <w:szCs w:val="20"/>
              </w:rPr>
              <w:t>zi</w:t>
            </w:r>
            <w:proofErr w:type="spellEnd"/>
          </w:p>
          <w:p w14:paraId="54544F18" w14:textId="77777777" w:rsidR="00B07ADA" w:rsidRPr="004D2FCE" w:rsidRDefault="00B07ADA" w:rsidP="00182DD4">
            <w:pPr>
              <w:jc w:val="both"/>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dacă</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ClCr</w:t>
            </w:r>
            <w:proofErr w:type="spellEnd"/>
            <w:r w:rsidRPr="004D2FCE">
              <w:rPr>
                <w:rFonts w:ascii="Times New Roman" w:eastAsia="Calibri Light" w:hAnsi="Times New Roman" w:cs="Times New Roman"/>
                <w:sz w:val="20"/>
                <w:szCs w:val="20"/>
              </w:rPr>
              <w:t xml:space="preserve"> 15-49 ml/min</w:t>
            </w:r>
          </w:p>
        </w:tc>
        <w:tc>
          <w:tcPr>
            <w:tcW w:w="4394" w:type="dxa"/>
          </w:tcPr>
          <w:p w14:paraId="416B2329"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 xml:space="preserve">20 mg o </w:t>
            </w:r>
            <w:proofErr w:type="spellStart"/>
            <w:r w:rsidRPr="004D2FCE">
              <w:rPr>
                <w:rFonts w:ascii="Times New Roman" w:eastAsia="Calibri Light" w:hAnsi="Times New Roman" w:cs="Times New Roman"/>
                <w:sz w:val="20"/>
                <w:szCs w:val="20"/>
              </w:rPr>
              <w:t>dată</w:t>
            </w:r>
            <w:proofErr w:type="spellEnd"/>
            <w:r w:rsidRPr="004D2FCE">
              <w:rPr>
                <w:rFonts w:ascii="Times New Roman" w:eastAsia="Calibri Light" w:hAnsi="Times New Roman" w:cs="Times New Roman"/>
                <w:sz w:val="20"/>
                <w:szCs w:val="20"/>
              </w:rPr>
              <w:t>/</w:t>
            </w:r>
            <w:proofErr w:type="spellStart"/>
            <w:r w:rsidRPr="004D2FCE">
              <w:rPr>
                <w:rFonts w:ascii="Times New Roman" w:eastAsia="Calibri Light" w:hAnsi="Times New Roman" w:cs="Times New Roman"/>
                <w:sz w:val="20"/>
                <w:szCs w:val="20"/>
              </w:rPr>
              <w:t>zi</w:t>
            </w:r>
            <w:proofErr w:type="spellEnd"/>
          </w:p>
          <w:p w14:paraId="4630B4C2"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după</w:t>
            </w:r>
            <w:proofErr w:type="spellEnd"/>
            <w:r w:rsidRPr="004D2FCE">
              <w:rPr>
                <w:rFonts w:ascii="Times New Roman" w:eastAsia="Calibri Light" w:hAnsi="Times New Roman" w:cs="Times New Roman"/>
                <w:sz w:val="20"/>
                <w:szCs w:val="20"/>
              </w:rPr>
              <w:t xml:space="preserve"> 6 </w:t>
            </w:r>
            <w:proofErr w:type="spellStart"/>
            <w:r w:rsidRPr="004D2FCE">
              <w:rPr>
                <w:rFonts w:ascii="Times New Roman" w:eastAsia="Calibri Light" w:hAnsi="Times New Roman" w:cs="Times New Roman"/>
                <w:sz w:val="20"/>
                <w:szCs w:val="20"/>
              </w:rPr>
              <w:t>luni</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dacă</w:t>
            </w:r>
            <w:proofErr w:type="spellEnd"/>
            <w:r w:rsidRPr="004D2FCE">
              <w:rPr>
                <w:rFonts w:ascii="Times New Roman" w:eastAsia="Calibri Light" w:hAnsi="Times New Roman" w:cs="Times New Roman"/>
                <w:sz w:val="20"/>
                <w:szCs w:val="20"/>
              </w:rPr>
              <w:t xml:space="preserve"> se </w:t>
            </w:r>
            <w:proofErr w:type="spellStart"/>
            <w:r w:rsidRPr="004D2FCE">
              <w:rPr>
                <w:rFonts w:ascii="Times New Roman" w:eastAsia="Calibri Light" w:hAnsi="Times New Roman" w:cs="Times New Roman"/>
                <w:sz w:val="20"/>
                <w:szCs w:val="20"/>
              </w:rPr>
              <w:t>continuă</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în</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profilaxie</w:t>
            </w:r>
            <w:proofErr w:type="spellEnd"/>
            <w:r w:rsidRPr="004D2FCE">
              <w:rPr>
                <w:rFonts w:ascii="Times New Roman" w:eastAsia="Calibri Light" w:hAnsi="Times New Roman" w:cs="Times New Roman"/>
                <w:sz w:val="20"/>
                <w:szCs w:val="20"/>
              </w:rPr>
              <w:t xml:space="preserve"> </w:t>
            </w:r>
            <w:proofErr w:type="spellStart"/>
            <w:r w:rsidRPr="004D2FCE">
              <w:rPr>
                <w:rFonts w:ascii="Times New Roman" w:eastAsia="Calibri Light" w:hAnsi="Times New Roman" w:cs="Times New Roman"/>
                <w:sz w:val="20"/>
                <w:szCs w:val="20"/>
              </w:rPr>
              <w:t>secundară</w:t>
            </w:r>
            <w:proofErr w:type="spellEnd"/>
          </w:p>
          <w:p w14:paraId="559360A6"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 xml:space="preserve">10 </w:t>
            </w:r>
            <w:proofErr w:type="spellStart"/>
            <w:r w:rsidRPr="004D2FCE">
              <w:rPr>
                <w:rFonts w:ascii="Times New Roman" w:eastAsia="Calibri Light" w:hAnsi="Times New Roman" w:cs="Times New Roman"/>
                <w:sz w:val="20"/>
                <w:szCs w:val="20"/>
              </w:rPr>
              <w:t>sau</w:t>
            </w:r>
            <w:proofErr w:type="spellEnd"/>
            <w:r w:rsidRPr="004D2FCE">
              <w:rPr>
                <w:rFonts w:ascii="Times New Roman" w:eastAsia="Calibri Light" w:hAnsi="Times New Roman" w:cs="Times New Roman"/>
                <w:sz w:val="20"/>
                <w:szCs w:val="20"/>
              </w:rPr>
              <w:t xml:space="preserve"> 20 mg o </w:t>
            </w:r>
            <w:proofErr w:type="spellStart"/>
            <w:r w:rsidRPr="004D2FCE">
              <w:rPr>
                <w:rFonts w:ascii="Times New Roman" w:eastAsia="Calibri Light" w:hAnsi="Times New Roman" w:cs="Times New Roman"/>
                <w:sz w:val="20"/>
                <w:szCs w:val="20"/>
              </w:rPr>
              <w:t>dată</w:t>
            </w:r>
            <w:proofErr w:type="spellEnd"/>
            <w:r w:rsidRPr="004D2FCE">
              <w:rPr>
                <w:rFonts w:ascii="Times New Roman" w:eastAsia="Calibri Light" w:hAnsi="Times New Roman" w:cs="Times New Roman"/>
                <w:sz w:val="20"/>
                <w:szCs w:val="20"/>
              </w:rPr>
              <w:t>/</w:t>
            </w:r>
            <w:proofErr w:type="spellStart"/>
            <w:r w:rsidRPr="004D2FCE">
              <w:rPr>
                <w:rFonts w:ascii="Times New Roman" w:eastAsia="Calibri Light" w:hAnsi="Times New Roman" w:cs="Times New Roman"/>
                <w:sz w:val="20"/>
                <w:szCs w:val="20"/>
              </w:rPr>
              <w:t>zi</w:t>
            </w:r>
            <w:proofErr w:type="spellEnd"/>
          </w:p>
          <w:p w14:paraId="11EFA8E8" w14:textId="77777777" w:rsidR="00B07ADA" w:rsidRPr="004D2FCE" w:rsidRDefault="00B07ADA" w:rsidP="00182DD4">
            <w:pPr>
              <w:rPr>
                <w:rFonts w:ascii="Times New Roman" w:eastAsia="Calibri Light" w:hAnsi="Times New Roman" w:cs="Times New Roman"/>
                <w:sz w:val="20"/>
                <w:szCs w:val="20"/>
              </w:rPr>
            </w:pPr>
          </w:p>
        </w:tc>
      </w:tr>
      <w:tr w:rsidR="004D2FCE" w:rsidRPr="004D2FCE" w14:paraId="48255D33" w14:textId="77777777" w:rsidTr="001F7E60">
        <w:tc>
          <w:tcPr>
            <w:tcW w:w="1585" w:type="dxa"/>
          </w:tcPr>
          <w:p w14:paraId="668C6162"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lastRenderedPageBreak/>
              <w:t>Dabigatran</w:t>
            </w:r>
          </w:p>
        </w:tc>
        <w:tc>
          <w:tcPr>
            <w:tcW w:w="4137" w:type="dxa"/>
          </w:tcPr>
          <w:p w14:paraId="3280DE45"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150 mg - 2x /</w:t>
            </w:r>
            <w:proofErr w:type="spellStart"/>
            <w:r w:rsidRPr="004D2FCE">
              <w:rPr>
                <w:rFonts w:ascii="Times New Roman" w:eastAsia="Calibri Light" w:hAnsi="Times New Roman" w:cs="Times New Roman"/>
                <w:sz w:val="20"/>
                <w:szCs w:val="20"/>
              </w:rPr>
              <w:t>zi</w:t>
            </w:r>
            <w:proofErr w:type="spellEnd"/>
          </w:p>
          <w:p w14:paraId="14DBC59A"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sau</w:t>
            </w:r>
            <w:proofErr w:type="spellEnd"/>
          </w:p>
          <w:p w14:paraId="4E3851D4"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110 mg - 2x /</w:t>
            </w:r>
            <w:proofErr w:type="spellStart"/>
            <w:r w:rsidRPr="004D2FCE">
              <w:rPr>
                <w:rFonts w:ascii="Times New Roman" w:eastAsia="Calibri Light" w:hAnsi="Times New Roman" w:cs="Times New Roman"/>
                <w:sz w:val="20"/>
                <w:szCs w:val="20"/>
              </w:rPr>
              <w:t>zi</w:t>
            </w:r>
            <w:proofErr w:type="spellEnd"/>
          </w:p>
          <w:p w14:paraId="61A80449"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 xml:space="preserve">la </w:t>
            </w:r>
            <w:proofErr w:type="spellStart"/>
            <w:r w:rsidRPr="004D2FCE">
              <w:rPr>
                <w:rFonts w:ascii="Times New Roman" w:eastAsia="Calibri Light" w:hAnsi="Times New Roman" w:cs="Times New Roman"/>
                <w:sz w:val="20"/>
                <w:szCs w:val="20"/>
              </w:rPr>
              <w:t>pacienții</w:t>
            </w:r>
            <w:proofErr w:type="spellEnd"/>
            <w:r w:rsidRPr="004D2FCE">
              <w:rPr>
                <w:rFonts w:ascii="Times New Roman" w:eastAsia="Calibri Light" w:hAnsi="Times New Roman" w:cs="Times New Roman"/>
                <w:sz w:val="20"/>
                <w:szCs w:val="20"/>
              </w:rPr>
              <w:t xml:space="preserve"> cu </w:t>
            </w:r>
            <w:proofErr w:type="spellStart"/>
            <w:r w:rsidRPr="004D2FCE">
              <w:rPr>
                <w:rFonts w:ascii="Times New Roman" w:eastAsia="Calibri Light" w:hAnsi="Times New Roman" w:cs="Times New Roman"/>
                <w:sz w:val="20"/>
                <w:szCs w:val="20"/>
              </w:rPr>
              <w:t>risc</w:t>
            </w:r>
            <w:proofErr w:type="spellEnd"/>
            <w:r w:rsidRPr="004D2FCE">
              <w:rPr>
                <w:rFonts w:ascii="Times New Roman" w:eastAsia="Calibri Light" w:hAnsi="Times New Roman" w:cs="Times New Roman"/>
                <w:sz w:val="20"/>
                <w:szCs w:val="20"/>
              </w:rPr>
              <w:t xml:space="preserve"> mare de </w:t>
            </w:r>
            <w:proofErr w:type="spellStart"/>
            <w:r w:rsidRPr="004D2FCE">
              <w:rPr>
                <w:rFonts w:ascii="Times New Roman" w:eastAsia="Calibri Light" w:hAnsi="Times New Roman" w:cs="Times New Roman"/>
                <w:sz w:val="20"/>
                <w:szCs w:val="20"/>
              </w:rPr>
              <w:t>sângerare</w:t>
            </w:r>
            <w:proofErr w:type="spellEnd"/>
          </w:p>
        </w:tc>
        <w:tc>
          <w:tcPr>
            <w:tcW w:w="4394" w:type="dxa"/>
          </w:tcPr>
          <w:p w14:paraId="05B94F4C"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150 mg - 2x /</w:t>
            </w:r>
            <w:proofErr w:type="spellStart"/>
            <w:r w:rsidRPr="004D2FCE">
              <w:rPr>
                <w:rFonts w:ascii="Times New Roman" w:eastAsia="Calibri Light" w:hAnsi="Times New Roman" w:cs="Times New Roman"/>
                <w:sz w:val="20"/>
                <w:szCs w:val="20"/>
              </w:rPr>
              <w:t>zi</w:t>
            </w:r>
            <w:proofErr w:type="spellEnd"/>
          </w:p>
          <w:p w14:paraId="3123C3DE" w14:textId="77777777" w:rsidR="00B07ADA" w:rsidRPr="004D2FCE" w:rsidRDefault="00B07ADA" w:rsidP="00182DD4">
            <w:pPr>
              <w:rPr>
                <w:rFonts w:ascii="Times New Roman" w:eastAsia="Calibri Light" w:hAnsi="Times New Roman" w:cs="Times New Roman"/>
                <w:sz w:val="20"/>
                <w:szCs w:val="20"/>
              </w:rPr>
            </w:pPr>
            <w:proofErr w:type="spellStart"/>
            <w:r w:rsidRPr="004D2FCE">
              <w:rPr>
                <w:rFonts w:ascii="Times New Roman" w:eastAsia="Calibri Light" w:hAnsi="Times New Roman" w:cs="Times New Roman"/>
                <w:sz w:val="20"/>
                <w:szCs w:val="20"/>
              </w:rPr>
              <w:t>sau</w:t>
            </w:r>
            <w:proofErr w:type="spellEnd"/>
          </w:p>
          <w:p w14:paraId="441DEA66" w14:textId="073563EC" w:rsidR="00B07ADA" w:rsidRPr="004D2FCE" w:rsidRDefault="00B07ADA" w:rsidP="00871551">
            <w:pPr>
              <w:tabs>
                <w:tab w:val="left" w:pos="3140"/>
              </w:tabs>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110 mg - 2x /</w:t>
            </w:r>
            <w:proofErr w:type="spellStart"/>
            <w:r w:rsidRPr="004D2FCE">
              <w:rPr>
                <w:rFonts w:ascii="Times New Roman" w:eastAsia="Calibri Light" w:hAnsi="Times New Roman" w:cs="Times New Roman"/>
                <w:sz w:val="20"/>
                <w:szCs w:val="20"/>
              </w:rPr>
              <w:t>zi</w:t>
            </w:r>
            <w:proofErr w:type="spellEnd"/>
            <w:r w:rsidR="00871551" w:rsidRPr="004D2FCE">
              <w:rPr>
                <w:rFonts w:ascii="Times New Roman" w:eastAsia="Calibri Light" w:hAnsi="Times New Roman" w:cs="Times New Roman"/>
                <w:sz w:val="20"/>
                <w:szCs w:val="20"/>
              </w:rPr>
              <w:tab/>
            </w:r>
          </w:p>
          <w:p w14:paraId="4AB62139" w14:textId="77777777" w:rsidR="00B07ADA" w:rsidRPr="004D2FCE" w:rsidRDefault="00B07ADA" w:rsidP="00182DD4">
            <w:pPr>
              <w:rPr>
                <w:rFonts w:ascii="Times New Roman" w:eastAsia="Calibri Light" w:hAnsi="Times New Roman" w:cs="Times New Roman"/>
                <w:sz w:val="20"/>
                <w:szCs w:val="20"/>
              </w:rPr>
            </w:pPr>
            <w:r w:rsidRPr="004D2FCE">
              <w:rPr>
                <w:rFonts w:ascii="Times New Roman" w:eastAsia="Calibri Light" w:hAnsi="Times New Roman" w:cs="Times New Roman"/>
                <w:sz w:val="20"/>
                <w:szCs w:val="20"/>
              </w:rPr>
              <w:t xml:space="preserve">la </w:t>
            </w:r>
            <w:proofErr w:type="spellStart"/>
            <w:r w:rsidRPr="004D2FCE">
              <w:rPr>
                <w:rFonts w:ascii="Times New Roman" w:eastAsia="Calibri Light" w:hAnsi="Times New Roman" w:cs="Times New Roman"/>
                <w:sz w:val="20"/>
                <w:szCs w:val="20"/>
              </w:rPr>
              <w:t>pacienții</w:t>
            </w:r>
            <w:proofErr w:type="spellEnd"/>
            <w:r w:rsidRPr="004D2FCE">
              <w:rPr>
                <w:rFonts w:ascii="Times New Roman" w:eastAsia="Calibri Light" w:hAnsi="Times New Roman" w:cs="Times New Roman"/>
                <w:sz w:val="20"/>
                <w:szCs w:val="20"/>
              </w:rPr>
              <w:t xml:space="preserve"> cu </w:t>
            </w:r>
            <w:proofErr w:type="spellStart"/>
            <w:r w:rsidRPr="004D2FCE">
              <w:rPr>
                <w:rFonts w:ascii="Times New Roman" w:eastAsia="Calibri Light" w:hAnsi="Times New Roman" w:cs="Times New Roman"/>
                <w:sz w:val="20"/>
                <w:szCs w:val="20"/>
              </w:rPr>
              <w:t>risc</w:t>
            </w:r>
            <w:proofErr w:type="spellEnd"/>
            <w:r w:rsidRPr="004D2FCE">
              <w:rPr>
                <w:rFonts w:ascii="Times New Roman" w:eastAsia="Calibri Light" w:hAnsi="Times New Roman" w:cs="Times New Roman"/>
                <w:sz w:val="20"/>
                <w:szCs w:val="20"/>
              </w:rPr>
              <w:t xml:space="preserve"> mare de </w:t>
            </w:r>
            <w:proofErr w:type="spellStart"/>
            <w:r w:rsidRPr="004D2FCE">
              <w:rPr>
                <w:rFonts w:ascii="Times New Roman" w:eastAsia="Calibri Light" w:hAnsi="Times New Roman" w:cs="Times New Roman"/>
                <w:sz w:val="20"/>
                <w:szCs w:val="20"/>
              </w:rPr>
              <w:t>sângerare</w:t>
            </w:r>
            <w:proofErr w:type="spellEnd"/>
          </w:p>
        </w:tc>
      </w:tr>
    </w:tbl>
    <w:p w14:paraId="30F5F9A1" w14:textId="77777777" w:rsidR="00B07ADA" w:rsidRPr="004D2FCE" w:rsidRDefault="00B07ADA" w:rsidP="00B07ADA">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67766A88" w14:textId="77777777" w:rsidR="00B07ADA" w:rsidRPr="004D2FCE"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1C3C5F5" w14:textId="77777777" w:rsidR="00B07ADA" w:rsidRPr="004D2FCE" w:rsidRDefault="00022853" w:rsidP="00022853">
      <w:pPr>
        <w:spacing w:after="0" w:line="240" w:lineRule="auto"/>
        <w:ind w:left="72" w:right="72"/>
        <w:jc w:val="both"/>
        <w:rPr>
          <w:rFonts w:ascii="Times New Roman" w:eastAsia="Times New Roman" w:hAnsi="Times New Roman" w:cs="Times New Roman"/>
          <w:sz w:val="20"/>
          <w:szCs w:val="20"/>
          <w:bdr w:val="none" w:sz="0" w:space="0" w:color="auto" w:frame="1"/>
          <w:shd w:val="clear" w:color="auto" w:fill="FFFFFF"/>
        </w:rPr>
      </w:pPr>
      <w:r w:rsidRPr="004D2FCE">
        <w:rPr>
          <w:rFonts w:ascii="Times New Roman" w:eastAsia="Times New Roman" w:hAnsi="Times New Roman" w:cs="Times New Roman"/>
          <w:sz w:val="20"/>
          <w:szCs w:val="20"/>
          <w:bdr w:val="none" w:sz="0" w:space="0" w:color="auto" w:frame="1"/>
          <w:shd w:val="clear" w:color="auto" w:fill="FFFFFF"/>
        </w:rPr>
        <w:t>NOTE:</w:t>
      </w:r>
    </w:p>
    <w:p w14:paraId="2ECF809F" w14:textId="77777777" w:rsidR="00B07ADA" w:rsidRPr="004D2FCE" w:rsidRDefault="00022853" w:rsidP="00022853">
      <w:pPr>
        <w:spacing w:after="0" w:line="240" w:lineRule="auto"/>
        <w:ind w:left="72" w:right="72"/>
        <w:jc w:val="both"/>
        <w:rPr>
          <w:rFonts w:ascii="Times New Roman" w:eastAsia="Times New Roman" w:hAnsi="Times New Roman" w:cs="Times New Roman"/>
          <w:sz w:val="20"/>
          <w:szCs w:val="20"/>
          <w:bdr w:val="none" w:sz="0" w:space="0" w:color="auto" w:frame="1"/>
          <w:shd w:val="clear" w:color="auto" w:fill="FFFFFF"/>
        </w:rPr>
      </w:pPr>
      <w:r w:rsidRPr="004D2FCE">
        <w:rPr>
          <w:rFonts w:ascii="Times New Roman" w:eastAsia="Times New Roman" w:hAnsi="Times New Roman" w:cs="Times New Roman"/>
          <w:sz w:val="20"/>
          <w:szCs w:val="20"/>
          <w:bdr w:val="none" w:sz="0" w:space="0" w:color="auto" w:frame="1"/>
          <w:shd w:val="clear" w:color="auto" w:fill="FFFFFF"/>
        </w:rPr>
        <w:t>NOAC sunt susceptibile la interacțiuni medicamentoase, relevante pentru pacienții cu COVID-19 fiind cele cu dexametazonă și posibil medicația antivirală. Este necesară consultarea datelor disponibile în acest sens pentru a stabili profilul de siguranță și dozajul adecvat.</w:t>
      </w:r>
    </w:p>
    <w:p w14:paraId="56E1948C" w14:textId="77777777" w:rsidR="00B07ADA" w:rsidRPr="004D2FCE" w:rsidRDefault="00022853" w:rsidP="00022853">
      <w:pPr>
        <w:spacing w:after="0" w:line="240" w:lineRule="auto"/>
        <w:ind w:left="72" w:right="72"/>
        <w:jc w:val="both"/>
        <w:rPr>
          <w:rFonts w:ascii="Times New Roman" w:eastAsia="Times New Roman" w:hAnsi="Times New Roman" w:cs="Times New Roman"/>
          <w:sz w:val="20"/>
          <w:szCs w:val="20"/>
          <w:bdr w:val="none" w:sz="0" w:space="0" w:color="auto" w:frame="1"/>
          <w:shd w:val="clear" w:color="auto" w:fill="FFFFFF"/>
        </w:rPr>
      </w:pPr>
      <w:r w:rsidRPr="004D2FCE">
        <w:rPr>
          <w:rFonts w:ascii="Times New Roman" w:eastAsia="Times New Roman" w:hAnsi="Times New Roman" w:cs="Times New Roman"/>
          <w:sz w:val="20"/>
          <w:szCs w:val="20"/>
          <w:bdr w:val="none" w:sz="0" w:space="0" w:color="auto" w:frame="1"/>
          <w:shd w:val="clear" w:color="auto" w:fill="FFFFFF"/>
        </w:rPr>
        <w:t>ClCr se va estima prin formula Cockcroft-Gault.</w:t>
      </w:r>
    </w:p>
    <w:p w14:paraId="0F9B915E" w14:textId="270C9062" w:rsidR="00022853" w:rsidRPr="004D2FCE" w:rsidRDefault="00022853" w:rsidP="00022853">
      <w:pPr>
        <w:spacing w:after="0" w:line="240" w:lineRule="auto"/>
        <w:ind w:left="72" w:right="72"/>
        <w:jc w:val="both"/>
        <w:rPr>
          <w:rFonts w:ascii="Times New Roman" w:eastAsia="Times New Roman" w:hAnsi="Times New Roman" w:cs="Times New Roman"/>
          <w:sz w:val="20"/>
          <w:szCs w:val="20"/>
          <w:bdr w:val="none" w:sz="0" w:space="0" w:color="auto" w:frame="1"/>
          <w:shd w:val="clear" w:color="auto" w:fill="FFFFFF"/>
        </w:rPr>
      </w:pPr>
      <w:r w:rsidRPr="004D2FCE">
        <w:rPr>
          <w:rFonts w:ascii="Times New Roman" w:eastAsia="Times New Roman" w:hAnsi="Times New Roman" w:cs="Times New Roman"/>
          <w:sz w:val="20"/>
          <w:szCs w:val="20"/>
          <w:bdr w:val="none" w:sz="0" w:space="0" w:color="auto" w:frame="1"/>
          <w:shd w:val="clear" w:color="auto" w:fill="FFFFFF"/>
        </w:rPr>
        <w:t>Apixaban și rivaroxaban sunt contraindicate la un ClCr &lt; 15 ml/min. și trebuie folosite cu precauție la ClCr 15-29 ml/min.; edoxaban este nerecomandat la ClCr &lt; 30 ml/min.; dabigatran este contraindicat la ClCr &lt; 30 ml/min.</w:t>
      </w:r>
    </w:p>
    <w:p w14:paraId="5E248263"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9AAF57E"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Tabel B3-2. Preparate și doze pentru HGMM</w:t>
      </w:r>
    </w:p>
    <w:p w14:paraId="6779AE8D" w14:textId="77777777" w:rsidR="00B07ADA" w:rsidRPr="004D2FCE"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Style w:val="TableGrid"/>
        <w:tblW w:w="10116" w:type="dxa"/>
        <w:tblInd w:w="85" w:type="dxa"/>
        <w:tblLook w:val="04A0" w:firstRow="1" w:lastRow="0" w:firstColumn="1" w:lastColumn="0" w:noHBand="0" w:noVBand="1"/>
      </w:tblPr>
      <w:tblGrid>
        <w:gridCol w:w="2072"/>
        <w:gridCol w:w="3792"/>
        <w:gridCol w:w="4252"/>
      </w:tblGrid>
      <w:tr w:rsidR="004D2FCE" w:rsidRPr="004D2FCE" w14:paraId="73D9BEB2" w14:textId="77777777" w:rsidTr="001F7E60">
        <w:tc>
          <w:tcPr>
            <w:tcW w:w="2072" w:type="dxa"/>
          </w:tcPr>
          <w:p w14:paraId="588F5C34" w14:textId="77777777" w:rsidR="00B07ADA" w:rsidRPr="004D2FCE" w:rsidRDefault="00B07ADA" w:rsidP="00182DD4">
            <w:pPr>
              <w:jc w:val="center"/>
              <w:rPr>
                <w:rFonts w:ascii="Times New Roman" w:eastAsia="Calibri Light" w:hAnsi="Times New Roman" w:cs="Times New Roman"/>
                <w:b/>
                <w:bCs/>
                <w:sz w:val="20"/>
                <w:szCs w:val="20"/>
                <w:lang w:val="ro-RO"/>
              </w:rPr>
            </w:pPr>
            <w:r w:rsidRPr="004D2FCE">
              <w:rPr>
                <w:rFonts w:ascii="Times New Roman" w:eastAsia="Calibri Light" w:hAnsi="Times New Roman" w:cs="Times New Roman"/>
                <w:b/>
                <w:bCs/>
                <w:sz w:val="20"/>
                <w:szCs w:val="20"/>
                <w:lang w:val="ro-RO"/>
              </w:rPr>
              <w:t>Anticoagulant</w:t>
            </w:r>
          </w:p>
        </w:tc>
        <w:tc>
          <w:tcPr>
            <w:tcW w:w="3792" w:type="dxa"/>
          </w:tcPr>
          <w:p w14:paraId="0ED110BC" w14:textId="77777777" w:rsidR="00B07ADA" w:rsidRPr="004D2FCE" w:rsidRDefault="00B07ADA" w:rsidP="00182DD4">
            <w:pPr>
              <w:jc w:val="center"/>
              <w:rPr>
                <w:rFonts w:ascii="Times New Roman" w:eastAsia="Calibri Light" w:hAnsi="Times New Roman" w:cs="Times New Roman"/>
                <w:sz w:val="20"/>
                <w:szCs w:val="20"/>
                <w:vertAlign w:val="superscript"/>
                <w:lang w:val="ro-RO"/>
              </w:rPr>
            </w:pPr>
            <w:r w:rsidRPr="004D2FCE">
              <w:rPr>
                <w:rFonts w:ascii="Times New Roman" w:eastAsia="Calibri Light" w:hAnsi="Times New Roman" w:cs="Times New Roman"/>
                <w:b/>
                <w:bCs/>
                <w:sz w:val="20"/>
                <w:szCs w:val="20"/>
                <w:lang w:val="ro-RO"/>
              </w:rPr>
              <w:t xml:space="preserve">Doza profilactică </w:t>
            </w:r>
          </w:p>
        </w:tc>
        <w:tc>
          <w:tcPr>
            <w:tcW w:w="4252" w:type="dxa"/>
          </w:tcPr>
          <w:p w14:paraId="057BA79C" w14:textId="77777777" w:rsidR="00B07ADA" w:rsidRPr="004D2FCE" w:rsidRDefault="00B07ADA" w:rsidP="00182DD4">
            <w:pPr>
              <w:jc w:val="center"/>
              <w:rPr>
                <w:rFonts w:ascii="Times New Roman" w:eastAsia="Calibri Light" w:hAnsi="Times New Roman" w:cs="Times New Roman"/>
                <w:sz w:val="20"/>
                <w:szCs w:val="20"/>
                <w:vertAlign w:val="superscript"/>
                <w:lang w:val="ro-RO"/>
              </w:rPr>
            </w:pPr>
            <w:r w:rsidRPr="004D2FCE">
              <w:rPr>
                <w:rFonts w:ascii="Times New Roman" w:eastAsia="Calibri Light" w:hAnsi="Times New Roman" w:cs="Times New Roman"/>
                <w:b/>
                <w:bCs/>
                <w:sz w:val="20"/>
                <w:szCs w:val="20"/>
                <w:lang w:val="ro-RO"/>
              </w:rPr>
              <w:t xml:space="preserve">Doza terapeutică </w:t>
            </w:r>
          </w:p>
        </w:tc>
      </w:tr>
      <w:tr w:rsidR="004D2FCE" w:rsidRPr="004D2FCE" w14:paraId="61B1F1E0" w14:textId="77777777" w:rsidTr="001F7E60">
        <w:tc>
          <w:tcPr>
            <w:tcW w:w="2072" w:type="dxa"/>
          </w:tcPr>
          <w:p w14:paraId="0375A742"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Enoxaparina</w:t>
            </w:r>
          </w:p>
        </w:tc>
        <w:tc>
          <w:tcPr>
            <w:tcW w:w="3792" w:type="dxa"/>
          </w:tcPr>
          <w:p w14:paraId="539E345D"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40 mg sc o dată/zi</w:t>
            </w:r>
          </w:p>
          <w:p w14:paraId="774BC61F"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40 mg sc la 12 ore (</w:t>
            </w:r>
            <w:r w:rsidRPr="004D2FCE">
              <w:rPr>
                <w:rFonts w:ascii="Times New Roman" w:hAnsi="Times New Roman" w:cs="Times New Roman"/>
                <w:sz w:val="20"/>
                <w:szCs w:val="20"/>
                <w:lang w:val="ro-RO"/>
              </w:rPr>
              <w:t>IMC ≥ 40 kg/m</w:t>
            </w:r>
            <w:r w:rsidRPr="004D2FCE">
              <w:rPr>
                <w:rFonts w:ascii="Times New Roman" w:hAnsi="Times New Roman" w:cs="Times New Roman"/>
                <w:sz w:val="20"/>
                <w:szCs w:val="20"/>
                <w:vertAlign w:val="superscript"/>
                <w:lang w:val="ro-RO"/>
              </w:rPr>
              <w:t>2</w:t>
            </w:r>
            <w:r w:rsidRPr="004D2FCE">
              <w:rPr>
                <w:rFonts w:ascii="Times New Roman" w:hAnsi="Times New Roman" w:cs="Times New Roman"/>
                <w:sz w:val="20"/>
                <w:szCs w:val="20"/>
                <w:lang w:val="ro-RO"/>
              </w:rPr>
              <w:t xml:space="preserve"> sau G ≥ 120 kg)</w:t>
            </w:r>
          </w:p>
        </w:tc>
        <w:tc>
          <w:tcPr>
            <w:tcW w:w="4252" w:type="dxa"/>
          </w:tcPr>
          <w:p w14:paraId="30FC9A82"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1 mg/kg sc la 12 ore</w:t>
            </w:r>
          </w:p>
          <w:p w14:paraId="65C041D2"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 sau 1,5 mg/kg o dată/zi)</w:t>
            </w:r>
          </w:p>
          <w:p w14:paraId="1BA9F1E7"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1 mg/kg sc o dată/zi (ClCr &lt; 30 ml/min/m</w:t>
            </w:r>
            <w:r w:rsidRPr="004D2FCE">
              <w:rPr>
                <w:rFonts w:ascii="Times New Roman" w:eastAsia="Calibri Light" w:hAnsi="Times New Roman" w:cs="Times New Roman"/>
                <w:sz w:val="20"/>
                <w:szCs w:val="20"/>
                <w:vertAlign w:val="superscript"/>
                <w:lang w:val="ro-RO"/>
              </w:rPr>
              <w:t>2</w:t>
            </w:r>
            <w:r w:rsidRPr="004D2FCE">
              <w:rPr>
                <w:rFonts w:ascii="Times New Roman" w:eastAsia="Calibri Light" w:hAnsi="Times New Roman" w:cs="Times New Roman"/>
                <w:sz w:val="20"/>
                <w:szCs w:val="20"/>
                <w:lang w:val="ro-RO"/>
              </w:rPr>
              <w:t>)</w:t>
            </w:r>
          </w:p>
        </w:tc>
      </w:tr>
      <w:tr w:rsidR="004D2FCE" w:rsidRPr="004D2FCE" w14:paraId="00E0F4B5" w14:textId="77777777" w:rsidTr="001F7E60">
        <w:tc>
          <w:tcPr>
            <w:tcW w:w="2072" w:type="dxa"/>
          </w:tcPr>
          <w:p w14:paraId="0298F8BE"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Dalteparina</w:t>
            </w:r>
          </w:p>
        </w:tc>
        <w:tc>
          <w:tcPr>
            <w:tcW w:w="3792" w:type="dxa"/>
          </w:tcPr>
          <w:p w14:paraId="418B46BF"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5000 u sc o dată/zi</w:t>
            </w:r>
          </w:p>
          <w:p w14:paraId="1725F04C"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7500 u sc o dată/zi (</w:t>
            </w:r>
            <w:r w:rsidRPr="004D2FCE">
              <w:rPr>
                <w:rFonts w:ascii="Times New Roman" w:hAnsi="Times New Roman" w:cs="Times New Roman"/>
                <w:sz w:val="20"/>
                <w:szCs w:val="20"/>
                <w:lang w:val="ro-RO"/>
              </w:rPr>
              <w:t>IMC ≥ 40 kg/m</w:t>
            </w:r>
            <w:r w:rsidRPr="004D2FCE">
              <w:rPr>
                <w:rFonts w:ascii="Times New Roman" w:hAnsi="Times New Roman" w:cs="Times New Roman"/>
                <w:sz w:val="20"/>
                <w:szCs w:val="20"/>
                <w:vertAlign w:val="superscript"/>
                <w:lang w:val="ro-RO"/>
              </w:rPr>
              <w:t>2</w:t>
            </w:r>
            <w:r w:rsidRPr="004D2FCE">
              <w:rPr>
                <w:rFonts w:ascii="Times New Roman" w:hAnsi="Times New Roman" w:cs="Times New Roman"/>
                <w:sz w:val="20"/>
                <w:szCs w:val="20"/>
                <w:lang w:val="ro-RO"/>
              </w:rPr>
              <w:t xml:space="preserve"> sau G ≥ 120 kg)</w:t>
            </w:r>
          </w:p>
        </w:tc>
        <w:tc>
          <w:tcPr>
            <w:tcW w:w="4252" w:type="dxa"/>
          </w:tcPr>
          <w:p w14:paraId="25805519"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 xml:space="preserve">100 u/kg sc la 12 ore </w:t>
            </w:r>
            <w:r w:rsidRPr="004D2FCE">
              <w:rPr>
                <w:rFonts w:ascii="Times New Roman" w:eastAsia="Calibri Light" w:hAnsi="Times New Roman" w:cs="Times New Roman"/>
                <w:iCs/>
                <w:sz w:val="20"/>
                <w:szCs w:val="20"/>
                <w:lang w:val="ro-RO"/>
              </w:rPr>
              <w:t>sau</w:t>
            </w:r>
          </w:p>
          <w:p w14:paraId="474D707B"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200 u/kg sc o dată/zi</w:t>
            </w:r>
          </w:p>
        </w:tc>
      </w:tr>
      <w:tr w:rsidR="004D2FCE" w:rsidRPr="004D2FCE" w14:paraId="14172EC7" w14:textId="77777777" w:rsidTr="001F7E60">
        <w:tc>
          <w:tcPr>
            <w:tcW w:w="2072" w:type="dxa"/>
          </w:tcPr>
          <w:p w14:paraId="511864F2"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Nadroparina</w:t>
            </w:r>
          </w:p>
        </w:tc>
        <w:tc>
          <w:tcPr>
            <w:tcW w:w="3792" w:type="dxa"/>
          </w:tcPr>
          <w:p w14:paraId="2FE583AA"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 xml:space="preserve">G ≤70 kg – sc 3800 unitati  o dată/zi </w:t>
            </w:r>
          </w:p>
          <w:p w14:paraId="12F8D758"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G &gt;70 kg – sc 5700 unitați o dată/zi</w:t>
            </w:r>
          </w:p>
          <w:p w14:paraId="6F6A027D" w14:textId="77777777" w:rsidR="00B07ADA" w:rsidRPr="004D2FCE" w:rsidRDefault="00B07ADA" w:rsidP="00182DD4">
            <w:pPr>
              <w:rPr>
                <w:rFonts w:ascii="Times New Roman" w:eastAsia="Calibri Light" w:hAnsi="Times New Roman" w:cs="Times New Roman"/>
                <w:sz w:val="20"/>
                <w:szCs w:val="20"/>
                <w:lang w:val="ro-RO"/>
              </w:rPr>
            </w:pPr>
          </w:p>
        </w:tc>
        <w:tc>
          <w:tcPr>
            <w:tcW w:w="4252" w:type="dxa"/>
          </w:tcPr>
          <w:p w14:paraId="50EE661A"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 xml:space="preserve">86 UI/kg sc la 12 ore </w:t>
            </w:r>
            <w:r w:rsidRPr="004D2FCE">
              <w:rPr>
                <w:rFonts w:ascii="Times New Roman" w:eastAsia="Calibri Light" w:hAnsi="Times New Roman" w:cs="Times New Roman"/>
                <w:iCs/>
                <w:sz w:val="20"/>
                <w:szCs w:val="20"/>
                <w:lang w:val="ro-RO"/>
              </w:rPr>
              <w:t>sau</w:t>
            </w:r>
          </w:p>
          <w:p w14:paraId="64CFD47A"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171 UI/kg sc o dată pe zi</w:t>
            </w:r>
          </w:p>
        </w:tc>
      </w:tr>
      <w:tr w:rsidR="004D2FCE" w:rsidRPr="004D2FCE" w14:paraId="559E8A34" w14:textId="77777777" w:rsidTr="001F7E60">
        <w:tc>
          <w:tcPr>
            <w:tcW w:w="2072" w:type="dxa"/>
          </w:tcPr>
          <w:p w14:paraId="586A55B1"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Tinzaparina</w:t>
            </w:r>
          </w:p>
        </w:tc>
        <w:tc>
          <w:tcPr>
            <w:tcW w:w="3792" w:type="dxa"/>
          </w:tcPr>
          <w:p w14:paraId="0266597F"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4500 u sc o dată/zi</w:t>
            </w:r>
          </w:p>
          <w:p w14:paraId="2B8409B8"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8000 u sc o dată/zi (</w:t>
            </w:r>
            <w:r w:rsidRPr="004D2FCE">
              <w:rPr>
                <w:rFonts w:ascii="Times New Roman" w:hAnsi="Times New Roman" w:cs="Times New Roman"/>
                <w:sz w:val="20"/>
                <w:szCs w:val="20"/>
                <w:lang w:val="ro-RO"/>
              </w:rPr>
              <w:t>IMC ≥ 40 kg/m</w:t>
            </w:r>
            <w:r w:rsidRPr="004D2FCE">
              <w:rPr>
                <w:rFonts w:ascii="Times New Roman" w:hAnsi="Times New Roman" w:cs="Times New Roman"/>
                <w:sz w:val="20"/>
                <w:szCs w:val="20"/>
                <w:vertAlign w:val="superscript"/>
                <w:lang w:val="ro-RO"/>
              </w:rPr>
              <w:t>2</w:t>
            </w:r>
            <w:r w:rsidRPr="004D2FCE">
              <w:rPr>
                <w:rFonts w:ascii="Times New Roman" w:hAnsi="Times New Roman" w:cs="Times New Roman"/>
                <w:sz w:val="20"/>
                <w:szCs w:val="20"/>
                <w:lang w:val="ro-RO"/>
              </w:rPr>
              <w:t xml:space="preserve"> sau G ≥ 120 kg)</w:t>
            </w:r>
          </w:p>
        </w:tc>
        <w:tc>
          <w:tcPr>
            <w:tcW w:w="4252" w:type="dxa"/>
          </w:tcPr>
          <w:p w14:paraId="0375B49D"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175 u/kg sc o dată/zi</w:t>
            </w:r>
          </w:p>
        </w:tc>
      </w:tr>
      <w:tr w:rsidR="004D2FCE" w:rsidRPr="004D2FCE" w14:paraId="19C58D25" w14:textId="77777777" w:rsidTr="001F7E60">
        <w:tc>
          <w:tcPr>
            <w:tcW w:w="2072" w:type="dxa"/>
          </w:tcPr>
          <w:p w14:paraId="3E28DC4F"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Fondaparina</w:t>
            </w:r>
          </w:p>
        </w:tc>
        <w:tc>
          <w:tcPr>
            <w:tcW w:w="3792" w:type="dxa"/>
          </w:tcPr>
          <w:p w14:paraId="4098A05C"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2,5 mg sc o dată/zi</w:t>
            </w:r>
          </w:p>
        </w:tc>
        <w:tc>
          <w:tcPr>
            <w:tcW w:w="4252" w:type="dxa"/>
          </w:tcPr>
          <w:p w14:paraId="3A4CC536"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sc o dată/zi</w:t>
            </w:r>
          </w:p>
          <w:p w14:paraId="2E366FA7" w14:textId="77777777" w:rsidR="00B07ADA" w:rsidRPr="004D2FCE" w:rsidRDefault="00B07ADA" w:rsidP="004B50B4">
            <w:pPr>
              <w:pStyle w:val="ListParagraph"/>
              <w:numPr>
                <w:ilvl w:val="0"/>
                <w:numId w:val="1"/>
              </w:num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5 mg (</w:t>
            </w:r>
            <w:r w:rsidRPr="004D2FCE">
              <w:rPr>
                <w:rFonts w:ascii="Times New Roman" w:eastAsia="Calibri Light" w:hAnsi="Times New Roman" w:cs="Times New Roman"/>
                <w:sz w:val="20"/>
                <w:szCs w:val="20"/>
              </w:rPr>
              <w:t>&lt; 50 kg)</w:t>
            </w:r>
          </w:p>
          <w:p w14:paraId="796614A2" w14:textId="77777777" w:rsidR="00B07ADA" w:rsidRPr="004D2FCE" w:rsidRDefault="00B07ADA" w:rsidP="004B50B4">
            <w:pPr>
              <w:pStyle w:val="ListParagraph"/>
              <w:numPr>
                <w:ilvl w:val="0"/>
                <w:numId w:val="1"/>
              </w:num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rPr>
              <w:t>7,5 mg (50-100 kg)</w:t>
            </w:r>
          </w:p>
          <w:p w14:paraId="5C32892E" w14:textId="77777777" w:rsidR="00B07ADA" w:rsidRPr="004D2FCE" w:rsidRDefault="00B07ADA" w:rsidP="004B50B4">
            <w:pPr>
              <w:pStyle w:val="ListParagraph"/>
              <w:numPr>
                <w:ilvl w:val="0"/>
                <w:numId w:val="1"/>
              </w:num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10 mg (&gt; 100 kg)</w:t>
            </w:r>
          </w:p>
        </w:tc>
      </w:tr>
      <w:tr w:rsidR="004D2FCE" w:rsidRPr="004D2FCE" w14:paraId="2FC9BE91" w14:textId="77777777" w:rsidTr="001F7E60">
        <w:tc>
          <w:tcPr>
            <w:tcW w:w="2072" w:type="dxa"/>
          </w:tcPr>
          <w:p w14:paraId="4AC47957"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Heparina nefracționată</w:t>
            </w:r>
          </w:p>
        </w:tc>
        <w:tc>
          <w:tcPr>
            <w:tcW w:w="3792" w:type="dxa"/>
          </w:tcPr>
          <w:p w14:paraId="6E6FE195"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5000 u sc la 8-12 ore</w:t>
            </w:r>
          </w:p>
          <w:p w14:paraId="552E0F4F"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7500 u sc la 12 ore (</w:t>
            </w:r>
            <w:r w:rsidRPr="004D2FCE">
              <w:rPr>
                <w:rFonts w:ascii="Times New Roman" w:hAnsi="Times New Roman" w:cs="Times New Roman"/>
                <w:sz w:val="20"/>
                <w:szCs w:val="20"/>
                <w:lang w:val="ro-RO"/>
              </w:rPr>
              <w:t>IMC ≥ 40 kg/m</w:t>
            </w:r>
            <w:r w:rsidRPr="004D2FCE">
              <w:rPr>
                <w:rFonts w:ascii="Times New Roman" w:hAnsi="Times New Roman" w:cs="Times New Roman"/>
                <w:sz w:val="20"/>
                <w:szCs w:val="20"/>
                <w:vertAlign w:val="superscript"/>
                <w:lang w:val="ro-RO"/>
              </w:rPr>
              <w:t>2</w:t>
            </w:r>
            <w:r w:rsidRPr="004D2FCE">
              <w:rPr>
                <w:rFonts w:ascii="Times New Roman" w:hAnsi="Times New Roman" w:cs="Times New Roman"/>
                <w:sz w:val="20"/>
                <w:szCs w:val="20"/>
                <w:lang w:val="ro-RO"/>
              </w:rPr>
              <w:t xml:space="preserve"> sau G ≥ 120 kg)</w:t>
            </w:r>
          </w:p>
        </w:tc>
        <w:tc>
          <w:tcPr>
            <w:tcW w:w="4252" w:type="dxa"/>
          </w:tcPr>
          <w:p w14:paraId="630E1F0A" w14:textId="77777777" w:rsidR="00B07ADA" w:rsidRPr="004D2FCE" w:rsidRDefault="00B07ADA" w:rsidP="00182DD4">
            <w:pPr>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60-70 UI/kg bolus, apoi perfuzie continuă 12-15 UI/kg/h (maxim 1000 UI/h), aPTT 1,5-2,5 x valori control</w:t>
            </w:r>
          </w:p>
        </w:tc>
      </w:tr>
    </w:tbl>
    <w:p w14:paraId="4DD43757" w14:textId="77777777" w:rsidR="00022853" w:rsidRPr="004D2FCE" w:rsidRDefault="00022853" w:rsidP="00B07ADA">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77B331B3" w14:textId="77777777" w:rsidR="00C14E42" w:rsidRPr="004D2FCE" w:rsidRDefault="00C14E42" w:rsidP="001F7E60">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615BDDD8"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Tabel B3-3. Scorul IMPROVE-VTE</w:t>
      </w:r>
    </w:p>
    <w:p w14:paraId="4E12F121" w14:textId="77777777" w:rsidR="00B07ADA" w:rsidRPr="004D2FCE"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Style w:val="TableGrid"/>
        <w:tblW w:w="10003" w:type="dxa"/>
        <w:tblInd w:w="198" w:type="dxa"/>
        <w:tblLook w:val="04A0" w:firstRow="1" w:lastRow="0" w:firstColumn="1" w:lastColumn="0" w:noHBand="0" w:noVBand="1"/>
      </w:tblPr>
      <w:tblGrid>
        <w:gridCol w:w="5751"/>
        <w:gridCol w:w="4252"/>
      </w:tblGrid>
      <w:tr w:rsidR="004D2FCE" w:rsidRPr="004D2FCE" w14:paraId="67D1FA71" w14:textId="77777777" w:rsidTr="00C14E42">
        <w:tc>
          <w:tcPr>
            <w:tcW w:w="5751" w:type="dxa"/>
          </w:tcPr>
          <w:p w14:paraId="2F744C21" w14:textId="77777777" w:rsidR="00B07ADA" w:rsidRPr="004D2FCE" w:rsidRDefault="00B07ADA" w:rsidP="00182DD4">
            <w:pPr>
              <w:jc w:val="center"/>
              <w:rPr>
                <w:rFonts w:ascii="Times New Roman" w:eastAsia="Calibri Light" w:hAnsi="Times New Roman" w:cs="Times New Roman"/>
                <w:b/>
                <w:bCs/>
                <w:sz w:val="20"/>
                <w:szCs w:val="20"/>
                <w:lang w:val="ro-RO"/>
              </w:rPr>
            </w:pPr>
            <w:r w:rsidRPr="004D2FCE">
              <w:rPr>
                <w:rFonts w:ascii="Times New Roman" w:eastAsia="Calibri Light" w:hAnsi="Times New Roman" w:cs="Times New Roman"/>
                <w:b/>
                <w:bCs/>
                <w:sz w:val="20"/>
                <w:szCs w:val="20"/>
                <w:lang w:val="ro-RO"/>
              </w:rPr>
              <w:t>Factor de risc TVE</w:t>
            </w:r>
          </w:p>
        </w:tc>
        <w:tc>
          <w:tcPr>
            <w:tcW w:w="4252" w:type="dxa"/>
          </w:tcPr>
          <w:p w14:paraId="1B996C07" w14:textId="77777777" w:rsidR="00B07ADA" w:rsidRPr="004D2FCE" w:rsidRDefault="00B07ADA" w:rsidP="00182DD4">
            <w:pPr>
              <w:jc w:val="center"/>
              <w:rPr>
                <w:rFonts w:ascii="Times New Roman" w:eastAsia="Calibri Light" w:hAnsi="Times New Roman" w:cs="Times New Roman"/>
                <w:b/>
                <w:bCs/>
                <w:sz w:val="20"/>
                <w:szCs w:val="20"/>
                <w:lang w:val="ro-RO"/>
              </w:rPr>
            </w:pPr>
            <w:r w:rsidRPr="004D2FCE">
              <w:rPr>
                <w:rFonts w:ascii="Times New Roman" w:eastAsia="Calibri Light" w:hAnsi="Times New Roman" w:cs="Times New Roman"/>
                <w:b/>
                <w:bCs/>
                <w:sz w:val="20"/>
                <w:szCs w:val="20"/>
                <w:lang w:val="ro-RO"/>
              </w:rPr>
              <w:t>Scor risc TVE</w:t>
            </w:r>
          </w:p>
        </w:tc>
      </w:tr>
      <w:tr w:rsidR="004D2FCE" w:rsidRPr="004D2FCE" w14:paraId="19077B71" w14:textId="77777777" w:rsidTr="00C14E42">
        <w:tc>
          <w:tcPr>
            <w:tcW w:w="5751" w:type="dxa"/>
          </w:tcPr>
          <w:p w14:paraId="7D81C033"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Antecedente TVE</w:t>
            </w:r>
          </w:p>
        </w:tc>
        <w:tc>
          <w:tcPr>
            <w:tcW w:w="4252" w:type="dxa"/>
          </w:tcPr>
          <w:p w14:paraId="75B76E18"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3</w:t>
            </w:r>
          </w:p>
        </w:tc>
      </w:tr>
      <w:tr w:rsidR="004D2FCE" w:rsidRPr="004D2FCE" w14:paraId="2C445B62" w14:textId="77777777" w:rsidTr="00C14E42">
        <w:tc>
          <w:tcPr>
            <w:tcW w:w="5751" w:type="dxa"/>
          </w:tcPr>
          <w:p w14:paraId="4F17671B"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Trombofilie cunoscută</w:t>
            </w:r>
          </w:p>
        </w:tc>
        <w:tc>
          <w:tcPr>
            <w:tcW w:w="4252" w:type="dxa"/>
          </w:tcPr>
          <w:p w14:paraId="4FDB5478"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2</w:t>
            </w:r>
          </w:p>
        </w:tc>
      </w:tr>
      <w:tr w:rsidR="004D2FCE" w:rsidRPr="004D2FCE" w14:paraId="599ED80A" w14:textId="77777777" w:rsidTr="00C14E42">
        <w:tc>
          <w:tcPr>
            <w:tcW w:w="5751" w:type="dxa"/>
          </w:tcPr>
          <w:p w14:paraId="557285A2"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Paralizie / pareză membre inferioare</w:t>
            </w:r>
          </w:p>
        </w:tc>
        <w:tc>
          <w:tcPr>
            <w:tcW w:w="4252" w:type="dxa"/>
          </w:tcPr>
          <w:p w14:paraId="257D792F"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2</w:t>
            </w:r>
          </w:p>
        </w:tc>
      </w:tr>
      <w:tr w:rsidR="004D2FCE" w:rsidRPr="004D2FCE" w14:paraId="71F07819" w14:textId="77777777" w:rsidTr="00C14E42">
        <w:tc>
          <w:tcPr>
            <w:tcW w:w="5751" w:type="dxa"/>
          </w:tcPr>
          <w:p w14:paraId="3DD2DAEA"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Istoric de cancer</w:t>
            </w:r>
          </w:p>
        </w:tc>
        <w:tc>
          <w:tcPr>
            <w:tcW w:w="4252" w:type="dxa"/>
          </w:tcPr>
          <w:p w14:paraId="5D251055"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2</w:t>
            </w:r>
          </w:p>
        </w:tc>
      </w:tr>
      <w:tr w:rsidR="004D2FCE" w:rsidRPr="004D2FCE" w14:paraId="26F56BFB" w14:textId="77777777" w:rsidTr="00C14E42">
        <w:tc>
          <w:tcPr>
            <w:tcW w:w="5751" w:type="dxa"/>
          </w:tcPr>
          <w:p w14:paraId="313C5483"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Spitalizare în terapie intensivă (ATI/USTAC)</w:t>
            </w:r>
          </w:p>
        </w:tc>
        <w:tc>
          <w:tcPr>
            <w:tcW w:w="4252" w:type="dxa"/>
          </w:tcPr>
          <w:p w14:paraId="72830220"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1</w:t>
            </w:r>
          </w:p>
        </w:tc>
      </w:tr>
      <w:tr w:rsidR="004D2FCE" w:rsidRPr="004D2FCE" w14:paraId="11F73692" w14:textId="77777777" w:rsidTr="00C14E42">
        <w:tc>
          <w:tcPr>
            <w:tcW w:w="5751" w:type="dxa"/>
          </w:tcPr>
          <w:p w14:paraId="303C3475"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 xml:space="preserve">Imobilizare completă </w:t>
            </w:r>
            <w:r w:rsidRPr="004D2FCE">
              <w:rPr>
                <w:rFonts w:ascii="Times New Roman" w:hAnsi="Times New Roman" w:cs="Times New Roman"/>
                <w:sz w:val="20"/>
                <w:szCs w:val="20"/>
                <w:lang w:val="ro-RO"/>
              </w:rPr>
              <w:t>≥ o zi</w:t>
            </w:r>
          </w:p>
        </w:tc>
        <w:tc>
          <w:tcPr>
            <w:tcW w:w="4252" w:type="dxa"/>
          </w:tcPr>
          <w:p w14:paraId="10B52FCB"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1</w:t>
            </w:r>
          </w:p>
        </w:tc>
      </w:tr>
      <w:tr w:rsidR="004D2FCE" w:rsidRPr="004D2FCE" w14:paraId="1F82EA7A" w14:textId="77777777" w:rsidTr="00C14E42">
        <w:tc>
          <w:tcPr>
            <w:tcW w:w="5751" w:type="dxa"/>
          </w:tcPr>
          <w:p w14:paraId="53F53EE1"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 xml:space="preserve">Vârsta </w:t>
            </w:r>
            <w:r w:rsidRPr="004D2FCE">
              <w:rPr>
                <w:rFonts w:ascii="Times New Roman" w:hAnsi="Times New Roman" w:cs="Times New Roman"/>
                <w:sz w:val="20"/>
                <w:szCs w:val="20"/>
                <w:lang w:val="ro-RO"/>
              </w:rPr>
              <w:t>≥ 60 ani</w:t>
            </w:r>
          </w:p>
        </w:tc>
        <w:tc>
          <w:tcPr>
            <w:tcW w:w="4252" w:type="dxa"/>
          </w:tcPr>
          <w:p w14:paraId="027A0E4A" w14:textId="77777777" w:rsidR="00B07ADA" w:rsidRPr="004D2FCE" w:rsidRDefault="00B07ADA" w:rsidP="00182DD4">
            <w:pPr>
              <w:jc w:val="both"/>
              <w:rPr>
                <w:rFonts w:ascii="Times New Roman" w:eastAsia="Calibri Light" w:hAnsi="Times New Roman" w:cs="Times New Roman"/>
                <w:sz w:val="20"/>
                <w:szCs w:val="20"/>
                <w:lang w:val="ro-RO"/>
              </w:rPr>
            </w:pPr>
            <w:r w:rsidRPr="004D2FCE">
              <w:rPr>
                <w:rFonts w:ascii="Times New Roman" w:eastAsia="Calibri Light" w:hAnsi="Times New Roman" w:cs="Times New Roman"/>
                <w:sz w:val="20"/>
                <w:szCs w:val="20"/>
                <w:lang w:val="ro-RO"/>
              </w:rPr>
              <w:t>1</w:t>
            </w:r>
          </w:p>
        </w:tc>
      </w:tr>
    </w:tbl>
    <w:p w14:paraId="0B008F5B" w14:textId="77777777" w:rsidR="00B07ADA" w:rsidRPr="004D2FCE" w:rsidRDefault="00B07ADA"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F884125" w14:textId="77777777" w:rsidR="00B07ADA"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B.4.</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 xml:space="preserve">Antibiotice și alte medicații antiinfecțioase </w:t>
      </w:r>
      <w:r w:rsidRPr="004D2FCE">
        <w:rPr>
          <w:rFonts w:ascii="Times New Roman" w:eastAsia="Times New Roman" w:hAnsi="Times New Roman" w:cs="Times New Roman"/>
          <w:sz w:val="24"/>
          <w:szCs w:val="24"/>
          <w:bdr w:val="none" w:sz="0" w:space="0" w:color="auto" w:frame="1"/>
          <w:shd w:val="clear" w:color="auto" w:fill="FFFFFF"/>
        </w:rPr>
        <w:t>(cu excepția celor antivirale specifice COVID-19)</w:t>
      </w:r>
    </w:p>
    <w:p w14:paraId="11891AB0" w14:textId="77777777" w:rsidR="00B07ADA" w:rsidRPr="004D2FCE"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D73D542" w14:textId="77777777" w:rsidR="00B07ADA"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Administrarea de antibiotice și alte antiinfecțioase nu este necesară în cadrul tratamentului pacienților cu COVID-19; ea reprezintă o atitudine de excepție, indicată în situații bine definite:</w:t>
      </w:r>
    </w:p>
    <w:p w14:paraId="53D19C91" w14:textId="046CB19A" w:rsidR="00B07ADA" w:rsidRPr="004D2FCE" w:rsidRDefault="00022853" w:rsidP="004B50B4">
      <w:pPr>
        <w:pStyle w:val="ListParagraph"/>
        <w:numPr>
          <w:ilvl w:val="2"/>
          <w:numId w:val="13"/>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tratarea infecțiilor concomitente COVID-19 (de exemplu, pneumonii bacteriene);</w:t>
      </w:r>
    </w:p>
    <w:p w14:paraId="0BE95F52" w14:textId="3815904B" w:rsidR="00B07ADA" w:rsidRPr="004D2FCE" w:rsidRDefault="00022853" w:rsidP="004B50B4">
      <w:pPr>
        <w:pStyle w:val="ListParagraph"/>
        <w:numPr>
          <w:ilvl w:val="2"/>
          <w:numId w:val="13"/>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tratarea infecțiilor asociate asistenței medicale ce apar la pacienții cu COVID-19 în timpul îngrijirii lor în spitale, mai frecvent respiratorii (pneumonii asociate asistenței medicale), dar și cu alte localizări: de părți moi, septicemii sau șoc septic, infecții cu C. difficile;</w:t>
      </w:r>
    </w:p>
    <w:p w14:paraId="6FCD1F52" w14:textId="1AA5A420" w:rsidR="00B07ADA" w:rsidRPr="004D2FCE" w:rsidRDefault="00022853" w:rsidP="004B50B4">
      <w:pPr>
        <w:pStyle w:val="ListParagraph"/>
        <w:numPr>
          <w:ilvl w:val="2"/>
          <w:numId w:val="13"/>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reactivarea unor infecții la pacienții care primesc tratament imunosupresor (tuberculoză, infecții herpetice, pneumocistoză etc.).</w:t>
      </w:r>
    </w:p>
    <w:p w14:paraId="0D5C7BB2" w14:textId="77777777" w:rsidR="00B07ADA" w:rsidRPr="004D2FCE"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99E3E80" w14:textId="77777777" w:rsidR="00F11BB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În prima perioadă de evoluție a bolii, pacientul cu COVID-19 poate avea infecții bacteriene concomitente, într-o proporție care nu depășește 10% în mai multe studii publicate; riscul de infecții bacteriene </w:t>
      </w:r>
      <w:r w:rsidRPr="004D2FCE">
        <w:rPr>
          <w:rFonts w:ascii="Times New Roman" w:eastAsia="Times New Roman" w:hAnsi="Times New Roman" w:cs="Times New Roman"/>
          <w:sz w:val="24"/>
          <w:szCs w:val="24"/>
          <w:bdr w:val="none" w:sz="0" w:space="0" w:color="auto" w:frame="1"/>
          <w:shd w:val="clear" w:color="auto" w:fill="FFFFFF"/>
        </w:rPr>
        <w:lastRenderedPageBreak/>
        <w:t>concomitente pare să fie semnificativ mai mic decât la pacienții cu gripă. Infecțiile concomitente COVID-19 sunt de regulă pneumonii bacteriene, care asociază frecvent procalcitonină serică crescută sau în creștere, leucocitoză cu neutrofilie, aspect radiologic de opacități pulmonare alveolare. În cazul unor astfel de manifestări este util un screening bacteriologic cu testarea prezenței urinare de antigene de pneumococ sau de Legionella, serologii pentru bacterii atipice, hemoculturi.</w:t>
      </w:r>
    </w:p>
    <w:p w14:paraId="54C16D06" w14:textId="77777777" w:rsidR="00F11BBE" w:rsidRPr="004D2FCE" w:rsidRDefault="00F11BB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B8070B3" w14:textId="77777777" w:rsidR="00F11BB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Antibioticele recomandate în pneumonie bacteriană precoce instalată sunt cele recomandate pentru pneumoniile comunitare:</w:t>
      </w:r>
    </w:p>
    <w:p w14:paraId="51F8D840" w14:textId="04A7DACA" w:rsidR="00F11BBE" w:rsidRPr="004D2FCE" w:rsidRDefault="00022853" w:rsidP="004B50B4">
      <w:pPr>
        <w:pStyle w:val="ListParagraph"/>
        <w:numPr>
          <w:ilvl w:val="2"/>
          <w:numId w:val="14"/>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amoxicilină clavulanat la 8 ore + doxiciclină 100 mg la 12 ore;</w:t>
      </w:r>
    </w:p>
    <w:p w14:paraId="0197D763" w14:textId="7BA7949B" w:rsidR="00F11BBE" w:rsidRPr="004D2FCE" w:rsidRDefault="00022853" w:rsidP="004B50B4">
      <w:pPr>
        <w:pStyle w:val="ListParagraph"/>
        <w:numPr>
          <w:ilvl w:val="2"/>
          <w:numId w:val="14"/>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pentru gravide: ceftriaxonă + azitromicină;</w:t>
      </w:r>
    </w:p>
    <w:p w14:paraId="26FF6CE6" w14:textId="5938C1B0" w:rsidR="00F11BBE" w:rsidRPr="004D2FCE" w:rsidRDefault="00022853" w:rsidP="004B50B4">
      <w:pPr>
        <w:pStyle w:val="ListParagraph"/>
        <w:numPr>
          <w:ilvl w:val="2"/>
          <w:numId w:val="14"/>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pentru alergici la beta-lactamine: moxifloxacină 400 mg/zi.</w:t>
      </w:r>
    </w:p>
    <w:p w14:paraId="716B659C" w14:textId="77777777" w:rsidR="00F11BB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Durata de administrare nu va depăși 5-7 zile. În mod anecdotic doxiciclinei i-a fost atribuit un rol favorabil suplimentar, de posibil inhibitor al IL-6. Fluorochinolona și macrolidele (inclusiv azitromicina) trebuie evitate la pacienții cunoscuți cu tulburări de ritm sau de conducere, din cauza riscului de a declanșa asemenea manifestări prin alungirea intervalului QT. Nu se poate susține includerea azitromicinei în tratamentul standard al COVID-19 și/sau al coinfecțiilor bacteriene în condițiile rezistenței frecvente a pneumococilor și posibil și a Mycoplasma pneumoniae la macrolide în România.</w:t>
      </w:r>
    </w:p>
    <w:p w14:paraId="0E1B8079" w14:textId="77777777" w:rsidR="00F11BBE" w:rsidRPr="004D2FCE" w:rsidRDefault="00F11BB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01C6DA2" w14:textId="77777777" w:rsidR="00F11BB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Apariția pneumoniei asociate ventilației mecanice a fost rară la pacienții cu COVID-19, de la mai puțin de 10% la 20%, chiar dacă durata medie de ventilație a fost de aproximativ 3 săptămâni. În cazul apariției unei pneumonii asociate ventilației mecanice se va utiliza o schemă de tratament adaptată circulației microbiene din respectivul serviciu de terapie intensivă.</w:t>
      </w:r>
    </w:p>
    <w:p w14:paraId="32CF2EB6" w14:textId="77777777" w:rsidR="00F11BBE" w:rsidRPr="004D2FCE" w:rsidRDefault="00F11BB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13FD043" w14:textId="77777777" w:rsidR="00F11BB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După administrarea de imunosupresoare pentru controlul inflamației excesive, pacientul trebuie supravegheat pentru riscul de suprainfecții bacteriene și de reactivare a unor infecții latente. Pentru a putea evalua cât mai corect aceste riscuri, recomandăm alături de anamneză și recoltarea și stocarea unei probe de sânge anterior primei administrări de imunosupresor, din care să se poată efectua teste serologice (HSV), Quantiferon TB-Gold, alte teste.</w:t>
      </w:r>
    </w:p>
    <w:p w14:paraId="6FCCFB8B" w14:textId="77777777" w:rsidR="00F11BBE" w:rsidRPr="004D2FCE" w:rsidRDefault="00F11BB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92647DC" w14:textId="77777777" w:rsidR="00434BE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În concluzie, administrarea de medicație antiinfecțioasă, în afara celei specifice pentru COVID-19, nu este indicată în general, ci doar selectiv și bine justificat. Utilizarea corectă a anamnezei, a examenului fizic, a testelor biologice (procalcitonina și hemoleucograma), a explorărilor imagistice și a testelor microbiologice permite identificarea pacienților care necesită antibiotice pentru rezolvarea problemelor infecțioase asociate COVID-19. Având în vedere relativa raritate a infecțiilor asociate acestui sindrom, situația actuală ar putea să aibă o consecință neintenționată favorabilă, și anume limitarea presiunii de selecție de bacterii rezistente la antibiotice și restrângerea circulației acestor microorganisme.</w:t>
      </w:r>
    </w:p>
    <w:p w14:paraId="61819FB1" w14:textId="77777777" w:rsidR="00434BEE" w:rsidRPr="004D2FCE" w:rsidRDefault="00434BE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4D83ABE" w14:textId="77777777" w:rsidR="00434BEE"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B.5.</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Suportul funcțiilor vitale</w:t>
      </w:r>
    </w:p>
    <w:p w14:paraId="11FA03B4" w14:textId="77777777" w:rsidR="00434BEE" w:rsidRPr="004D2FCE" w:rsidRDefault="00434BEE"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p>
    <w:p w14:paraId="3F6CBB2D" w14:textId="77777777" w:rsidR="00434BE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Îngrijirea pacienților cu forme critice de COVID-19 se va face de către medici de terapie intensivă.</w:t>
      </w:r>
    </w:p>
    <w:p w14:paraId="6F8F40DC" w14:textId="39F720ED" w:rsidR="00434BE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Deși există multiple sindroame care pot pune în pericol prognosticul pacientului cu COVID-19 (disfuncții hemodinamice, insuficiență renală acută, suprainfecții bacteriene severe), principalul risc vital rămâne afectarea respiratorie severă și de aceea o atenție deosebită trebuie acordată monitorizării și susținerii funcției respiratorii la pacientul cu COV</w:t>
      </w:r>
      <w:r w:rsidR="00434BEE" w:rsidRPr="004D2FCE">
        <w:rPr>
          <w:rFonts w:ascii="Times New Roman" w:eastAsia="Times New Roman" w:hAnsi="Times New Roman" w:cs="Times New Roman"/>
          <w:sz w:val="24"/>
          <w:szCs w:val="24"/>
          <w:bdr w:val="none" w:sz="0" w:space="0" w:color="auto" w:frame="1"/>
          <w:shd w:val="clear" w:color="auto" w:fill="FFFFFF"/>
        </w:rPr>
        <w:t>ID-19. Scăderea saturației de O</w:t>
      </w:r>
      <w:r w:rsidRPr="004D2FCE">
        <w:rPr>
          <w:rFonts w:ascii="Times New Roman" w:eastAsia="Times New Roman" w:hAnsi="Times New Roman" w:cs="Times New Roman"/>
          <w:sz w:val="24"/>
          <w:szCs w:val="24"/>
          <w:bdr w:val="none" w:sz="0" w:space="0" w:color="auto" w:frame="1"/>
          <w:shd w:val="clear" w:color="auto" w:fill="FFFFFF"/>
          <w:vertAlign w:val="subscript"/>
        </w:rPr>
        <w:t>2</w:t>
      </w:r>
      <w:r w:rsidRPr="004D2FCE">
        <w:rPr>
          <w:rFonts w:ascii="Times New Roman" w:eastAsia="Times New Roman" w:hAnsi="Times New Roman" w:cs="Times New Roman"/>
          <w:sz w:val="24"/>
          <w:szCs w:val="24"/>
          <w:bdr w:val="none" w:sz="0" w:space="0" w:color="auto" w:frame="1"/>
          <w:shd w:val="clear" w:color="auto" w:fill="FFFFFF"/>
        </w:rPr>
        <w:t xml:space="preserve"> sub 94% în aerul atmosferic la pacienți în repaus, fără suferință respiratorie anterioară, impune evaluarea rapidă a gazometriei arteriale și îmbogățirea aerului inspirat cu oxigen. Măsuri suplimentare pentru reducerea hipoxemiei pot fi oricând decise în funcție de dificultatea de a corecta hipoxemia. Obiectivul este de a evita agravarea hipoxiei tisulare care determină leziuni greu reversibile.</w:t>
      </w:r>
    </w:p>
    <w:p w14:paraId="64CCF222" w14:textId="77777777" w:rsidR="00434BEE" w:rsidRPr="004D2FCE" w:rsidRDefault="00434BE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5720062" w14:textId="77777777" w:rsidR="00434BE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Elementele de detaliu în această privință depășesc scopul acestui protocol terapeutic. Un protocol privind tratamentul cu oxigen este elaborat pentru a detalia intervențiile necesare la diferite categorii de pacienți.</w:t>
      </w:r>
    </w:p>
    <w:p w14:paraId="1833658A" w14:textId="77777777" w:rsidR="00434BEE" w:rsidRPr="004D2FCE" w:rsidRDefault="00434BE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8B7062D" w14:textId="77777777" w:rsidR="00434BEE"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B.6.</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Simptomatice și alte măsuri terapeutice</w:t>
      </w:r>
      <w:r w:rsidRPr="004D2FCE">
        <w:rPr>
          <w:rFonts w:ascii="Times New Roman" w:eastAsia="Times New Roman" w:hAnsi="Times New Roman" w:cs="Times New Roman"/>
          <w:sz w:val="24"/>
          <w:szCs w:val="24"/>
          <w:bdr w:val="none" w:sz="0" w:space="0" w:color="auto" w:frame="1"/>
          <w:shd w:val="clear" w:color="auto" w:fill="FFFFFF"/>
        </w:rPr>
        <w:t xml:space="preserve"> care pot fi utile în majoritatea cazurilor:</w:t>
      </w:r>
    </w:p>
    <w:p w14:paraId="1F4D9E49" w14:textId="10755236" w:rsidR="00434BEE" w:rsidRPr="004D2FCE"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combaterea febrei (acetaminofen), a mialgiilor;</w:t>
      </w:r>
    </w:p>
    <w:p w14:paraId="3D01C5BA" w14:textId="192468FF" w:rsidR="00434BEE" w:rsidRPr="004D2FCE"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combaterea insomniilor;</w:t>
      </w:r>
    </w:p>
    <w:p w14:paraId="33DC33B2" w14:textId="6E9747CB" w:rsidR="00434BEE" w:rsidRPr="004D2FCE"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limitarea anxietății pentru ameliorarea stării generale - lorazepam;</w:t>
      </w:r>
    </w:p>
    <w:p w14:paraId="2E215192" w14:textId="7218E535" w:rsidR="00434BEE" w:rsidRPr="004D2FCE"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lastRenderedPageBreak/>
        <w:t>combaterea greței, vărsăturilor - metoclopramid, ondasetron, eventual dexametazonă;</w:t>
      </w:r>
    </w:p>
    <w:p w14:paraId="5AD71D04" w14:textId="3CD54ADF" w:rsidR="00434BEE" w:rsidRPr="004D2FCE"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fluidifierea secrețiilor respiratorii prin hidratare corespunzătoare, nebulizare cu soluție hipertonă 3%, nebulizări cu betamimetice;</w:t>
      </w:r>
    </w:p>
    <w:p w14:paraId="387D6B54" w14:textId="31B8F0A8" w:rsidR="00434BEE" w:rsidRPr="004D2FCE"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profilaxia escarelor la pacientul imobilizat/sever;</w:t>
      </w:r>
    </w:p>
    <w:p w14:paraId="7E510BAE" w14:textId="5F5B6E91" w:rsidR="00434BEE" w:rsidRPr="004D2FCE"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profilaxia ulcerului de stres prin antisecretorii gastrice și nutriție enterală;</w:t>
      </w:r>
    </w:p>
    <w:p w14:paraId="7C06C814" w14:textId="67E85AA3" w:rsidR="00434BEE" w:rsidRPr="004D2FCE"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în formele cu inflamație importantă și/sau hipoxemie la pacienți diabetici riscul de cetoacidoză este mai mare și se recomandă corectare cu insulină cu acțiune rapidă;</w:t>
      </w:r>
    </w:p>
    <w:p w14:paraId="6CAF024C" w14:textId="54912058" w:rsidR="00434BEE" w:rsidRPr="004D2FCE"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întreruperea fumatului.</w:t>
      </w:r>
    </w:p>
    <w:p w14:paraId="013B3B62" w14:textId="77777777" w:rsidR="0063407A" w:rsidRPr="004D2FCE" w:rsidRDefault="0063407A" w:rsidP="00871551">
      <w:pPr>
        <w:pStyle w:val="ListParagraph"/>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p>
    <w:p w14:paraId="3E4102D0" w14:textId="07849EB2" w:rsidR="00871551" w:rsidRPr="004D2FCE" w:rsidRDefault="0063407A" w:rsidP="00871551">
      <w:pPr>
        <w:spacing w:after="0" w:line="240" w:lineRule="auto"/>
        <w:ind w:right="72"/>
        <w:jc w:val="both"/>
        <w:rPr>
          <w:rFonts w:ascii="Times New Roman" w:eastAsia="Times New Roman" w:hAnsi="Times New Roman" w:cs="Times New Roman"/>
          <w:b/>
          <w:bCs/>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 xml:space="preserve">B.7. </w:t>
      </w:r>
      <w:r w:rsidR="00871551" w:rsidRPr="004D2FCE">
        <w:rPr>
          <w:rFonts w:ascii="Times New Roman" w:eastAsia="Times New Roman" w:hAnsi="Times New Roman" w:cs="Times New Roman"/>
          <w:b/>
          <w:bCs/>
          <w:sz w:val="24"/>
          <w:szCs w:val="24"/>
          <w:bdr w:val="none" w:sz="0" w:space="0" w:color="auto" w:frame="1"/>
          <w:shd w:val="clear" w:color="auto" w:fill="FFFFFF"/>
        </w:rPr>
        <w:t>Opțiuni terapeutice care și-au pierdut eficiența odată cu apariția variantei / subvariantelor Omicron sau care au fost înlocuite cu opțiuni terapeutice noi, cu eficiență superioară.</w:t>
      </w:r>
    </w:p>
    <w:p w14:paraId="403194C0" w14:textId="5F15B450" w:rsidR="0063407A" w:rsidRPr="004D2FCE" w:rsidRDefault="0063407A" w:rsidP="0063407A">
      <w:pPr>
        <w:spacing w:after="0" w:line="240" w:lineRule="auto"/>
        <w:ind w:right="72"/>
        <w:jc w:val="both"/>
        <w:rPr>
          <w:rFonts w:ascii="Times New Roman" w:eastAsia="Times New Roman" w:hAnsi="Times New Roman" w:cs="Times New Roman"/>
          <w:b/>
          <w:bCs/>
          <w:sz w:val="24"/>
          <w:szCs w:val="24"/>
          <w:bdr w:val="none" w:sz="0" w:space="0" w:color="auto" w:frame="1"/>
          <w:shd w:val="clear" w:color="auto" w:fill="FFFFFF"/>
        </w:rPr>
      </w:pPr>
    </w:p>
    <w:p w14:paraId="0DB7D08B" w14:textId="4A4124E7" w:rsidR="0063407A" w:rsidRPr="004D2FCE" w:rsidRDefault="0063407A" w:rsidP="0063407A">
      <w:pPr>
        <w:spacing w:after="0" w:line="240" w:lineRule="auto"/>
        <w:ind w:right="72"/>
        <w:jc w:val="both"/>
        <w:rPr>
          <w:rFonts w:ascii="Times New Roman" w:eastAsia="Times New Roman" w:hAnsi="Times New Roman" w:cs="Times New Roman"/>
          <w:b/>
          <w:bCs/>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 xml:space="preserve"> </w:t>
      </w:r>
    </w:p>
    <w:p w14:paraId="617A228B" w14:textId="0A7A9119" w:rsidR="0063407A" w:rsidRPr="004D2FCE" w:rsidRDefault="0063407A" w:rsidP="0063407A">
      <w:pPr>
        <w:spacing w:after="0" w:line="240" w:lineRule="auto"/>
        <w:ind w:right="72"/>
        <w:jc w:val="both"/>
        <w:rPr>
          <w:rFonts w:ascii="Times New Roman" w:eastAsia="Times New Roman" w:hAnsi="Times New Roman" w:cs="Times New Roman"/>
          <w:b/>
          <w:bCs/>
          <w:sz w:val="24"/>
          <w:szCs w:val="24"/>
          <w:bdr w:val="none" w:sz="0" w:space="0" w:color="auto" w:frame="1"/>
          <w:shd w:val="clear" w:color="auto" w:fill="FFFFFF"/>
        </w:rPr>
      </w:pPr>
      <w:r w:rsidRPr="004D2FCE">
        <w:rPr>
          <w:rFonts w:ascii="Times New Roman" w:eastAsia="Times New Roman" w:hAnsi="Times New Roman" w:cs="Times New Roman"/>
          <w:b/>
          <w:sz w:val="24"/>
          <w:szCs w:val="24"/>
          <w:bdr w:val="none" w:sz="0" w:space="0" w:color="auto" w:frame="1"/>
          <w:shd w:val="clear" w:color="auto" w:fill="FFFFFF"/>
        </w:rPr>
        <w:t>B.7.1. Anticorpi monoclonali neutralizanți pentru SARS-CoV-2</w:t>
      </w:r>
    </w:p>
    <w:p w14:paraId="258C1A18" w14:textId="77777777" w:rsidR="0063407A" w:rsidRPr="004D2FCE" w:rsidRDefault="0063407A" w:rsidP="0063407A">
      <w:pPr>
        <w:tabs>
          <w:tab w:val="left" w:pos="2260"/>
        </w:tabs>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b/>
      </w:r>
    </w:p>
    <w:p w14:paraId="60C922D9" w14:textId="58133313" w:rsidR="0063407A" w:rsidRPr="004D2FCE" w:rsidRDefault="0063407A" w:rsidP="0063407A">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Apariția cazurilor determinate de varianta omicron </w:t>
      </w:r>
      <w:r w:rsidR="00F01C9E" w:rsidRPr="004D2FCE">
        <w:rPr>
          <w:rFonts w:ascii="Times New Roman" w:eastAsia="Times New Roman" w:hAnsi="Times New Roman" w:cs="Times New Roman"/>
          <w:sz w:val="24"/>
          <w:szCs w:val="24"/>
          <w:bdr w:val="none" w:sz="0" w:space="0" w:color="auto" w:frame="1"/>
          <w:shd w:val="clear" w:color="auto" w:fill="FFFFFF"/>
        </w:rPr>
        <w:t xml:space="preserve">a limitat </w:t>
      </w:r>
      <w:r w:rsidRPr="004D2FCE">
        <w:rPr>
          <w:rFonts w:ascii="Times New Roman" w:eastAsia="Times New Roman" w:hAnsi="Times New Roman" w:cs="Times New Roman"/>
          <w:sz w:val="24"/>
          <w:szCs w:val="24"/>
          <w:bdr w:val="none" w:sz="0" w:space="0" w:color="auto" w:frame="1"/>
          <w:shd w:val="clear" w:color="auto" w:fill="FFFFFF"/>
        </w:rPr>
        <w:t>utilitatea produselor existente; datele preliminare arată reducerea drastică a capacității de neutralizare a acestor anticorpi față de varianta omicron.</w:t>
      </w:r>
    </w:p>
    <w:p w14:paraId="1F4AC3FD" w14:textId="77777777" w:rsidR="0063407A" w:rsidRPr="004D2FCE" w:rsidRDefault="0063407A" w:rsidP="0063407A">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24D7CA2" w14:textId="109D8D15" w:rsidR="0063407A" w:rsidRPr="004D2FCE" w:rsidRDefault="0063407A" w:rsidP="0063407A">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Bamlanivimab/Etesevimab, casirivimab/imdevimab, tixagevimab/cilgavimab şi regdanvimab sunt inactive împotriva variantei omicron, aşa încât utilizarea lor nu se justifică la pacienţi în cadrul  valului de îmbolnăviri determinate de această variantă. În cazurile în care se demonstrează prin tehnici de diagnostic molecular implicarea unei variante virale, alta decât omicron, susceptibilă la unul din aceste produse, se poate administra produsul activ.</w:t>
      </w:r>
    </w:p>
    <w:p w14:paraId="41B2FD69" w14:textId="77777777" w:rsidR="0063407A" w:rsidRPr="004D2FCE" w:rsidRDefault="0063407A" w:rsidP="0063407A">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364A3C73" w14:textId="15481468" w:rsidR="0063407A" w:rsidRPr="004D2FCE" w:rsidRDefault="0063407A" w:rsidP="0063407A">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B.7.2.</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Plasma de convalescent</w:t>
      </w:r>
    </w:p>
    <w:p w14:paraId="58FDCD4F" w14:textId="77777777" w:rsidR="0063407A" w:rsidRPr="004D2FCE" w:rsidRDefault="0063407A" w:rsidP="0063407A">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BBA3F1F" w14:textId="7DDC0DEB" w:rsidR="0063407A" w:rsidRPr="004D2FCE" w:rsidRDefault="0063407A" w:rsidP="0063407A">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Analiza datelor acumulate arată că nu poate fi susținută nici eficiența și nici siguranța administrării plasmei de convalescent COVID-19 în scop terapeutic; există rezultate contradictorii privind eficiența, precum și informații privind decese corelabile cu administrarea de plasmă. Apariția TRALI la un pacient cu formă severă de COVID-19 poate agrava semnificativ disfuncția respiratorie a unui pacient care are deja afectare respiratorie severă; de asemenea, s-au citat supraîncărcări volemice în urma transfuziei de plasmă la pacienți cu COVID-19.</w:t>
      </w:r>
      <w:r w:rsidR="00871551" w:rsidRPr="004D2FCE">
        <w:rPr>
          <w:rFonts w:ascii="Times New Roman" w:eastAsia="Times New Roman" w:hAnsi="Times New Roman" w:cs="Times New Roman"/>
          <w:sz w:val="24"/>
          <w:szCs w:val="24"/>
          <w:bdr w:val="none" w:sz="0" w:space="0" w:color="auto" w:frame="1"/>
          <w:shd w:val="clear" w:color="auto" w:fill="FFFFFF"/>
        </w:rPr>
        <w:t xml:space="preserve"> Actualmente, plasma de convalescent nu mai este </w:t>
      </w:r>
      <w:r w:rsidR="00D26433" w:rsidRPr="004D2FCE">
        <w:rPr>
          <w:rFonts w:ascii="Times New Roman" w:eastAsia="Times New Roman" w:hAnsi="Times New Roman" w:cs="Times New Roman"/>
          <w:sz w:val="24"/>
          <w:szCs w:val="24"/>
          <w:bdr w:val="none" w:sz="0" w:space="0" w:color="auto" w:frame="1"/>
          <w:shd w:val="clear" w:color="auto" w:fill="FFFFFF"/>
        </w:rPr>
        <w:t>recomandată în ghidurile terapeutice pentru COVID19.</w:t>
      </w:r>
    </w:p>
    <w:p w14:paraId="265479E2" w14:textId="77777777" w:rsidR="00434BEE" w:rsidRPr="004D2FCE" w:rsidRDefault="00434BEE"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A2F5382" w14:textId="35AB3AC4" w:rsidR="005569A2" w:rsidRPr="004D2FCE" w:rsidRDefault="005569A2" w:rsidP="005569A2">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 xml:space="preserve">B.7.3 </w:t>
      </w:r>
      <w:r w:rsidRPr="004D2FCE">
        <w:rPr>
          <w:rFonts w:ascii="Times New Roman" w:eastAsia="Times New Roman" w:hAnsi="Times New Roman" w:cs="Times New Roman"/>
          <w:b/>
          <w:sz w:val="24"/>
          <w:szCs w:val="24"/>
          <w:bdr w:val="none" w:sz="0" w:space="0" w:color="auto" w:frame="1"/>
          <w:shd w:val="clear" w:color="auto" w:fill="FFFFFF"/>
        </w:rPr>
        <w:t>Favipiravir</w:t>
      </w:r>
    </w:p>
    <w:p w14:paraId="74A37CF6" w14:textId="77777777"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EFDE84C" w14:textId="092931CB"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Favipiravir este un inhibitor al ARN-polimerazei care s-a utilizat pentru gripă și infecția cu virusul Ebola. Din cauza efectelor teratogene, utilizarea sa a fost autorizată doar pentru situații speciale cum ar fi epidemii cu virusuri gripale noi.</w:t>
      </w:r>
      <w:r w:rsidR="009549B3" w:rsidRPr="004D2FCE">
        <w:rPr>
          <w:rFonts w:ascii="Times New Roman" w:eastAsia="Times New Roman" w:hAnsi="Times New Roman" w:cs="Times New Roman"/>
          <w:sz w:val="24"/>
          <w:szCs w:val="24"/>
          <w:bdr w:val="none" w:sz="0" w:space="0" w:color="auto" w:frame="1"/>
          <w:shd w:val="clear" w:color="auto" w:fill="FFFFFF"/>
        </w:rPr>
        <w:t xml:space="preserve"> În contextul paucității tratamentului antiviral eficient la nivel global, până când au fost disponibile an</w:t>
      </w:r>
      <w:r w:rsidR="00F01C9E" w:rsidRPr="004D2FCE">
        <w:rPr>
          <w:rFonts w:ascii="Times New Roman" w:eastAsia="Times New Roman" w:hAnsi="Times New Roman" w:cs="Times New Roman"/>
          <w:sz w:val="24"/>
          <w:szCs w:val="24"/>
          <w:bdr w:val="none" w:sz="0" w:space="0" w:color="auto" w:frame="1"/>
          <w:shd w:val="clear" w:color="auto" w:fill="FFFFFF"/>
        </w:rPr>
        <w:t>t</w:t>
      </w:r>
      <w:r w:rsidR="009549B3" w:rsidRPr="004D2FCE">
        <w:rPr>
          <w:rFonts w:ascii="Times New Roman" w:eastAsia="Times New Roman" w:hAnsi="Times New Roman" w:cs="Times New Roman"/>
          <w:sz w:val="24"/>
          <w:szCs w:val="24"/>
          <w:bdr w:val="none" w:sz="0" w:space="0" w:color="auto" w:frame="1"/>
          <w:shd w:val="clear" w:color="auto" w:fill="FFFFFF"/>
        </w:rPr>
        <w:t>iviralele orale noi</w:t>
      </w:r>
      <w:r w:rsidR="005E2D88" w:rsidRPr="004D2FCE">
        <w:rPr>
          <w:rFonts w:ascii="Times New Roman" w:eastAsia="Times New Roman" w:hAnsi="Times New Roman" w:cs="Times New Roman"/>
          <w:sz w:val="24"/>
          <w:szCs w:val="24"/>
          <w:bdr w:val="none" w:sz="0" w:space="0" w:color="auto" w:frame="1"/>
          <w:shd w:val="clear" w:color="auto" w:fill="FFFFFF"/>
        </w:rPr>
        <w:t xml:space="preserve"> </w:t>
      </w:r>
      <w:r w:rsidR="009549B3" w:rsidRPr="004D2FCE">
        <w:rPr>
          <w:rFonts w:ascii="Times New Roman" w:eastAsia="Times New Roman" w:hAnsi="Times New Roman" w:cs="Times New Roman"/>
          <w:sz w:val="24"/>
          <w:szCs w:val="24"/>
          <w:bdr w:val="none" w:sz="0" w:space="0" w:color="auto" w:frame="1"/>
          <w:shd w:val="clear" w:color="auto" w:fill="FFFFFF"/>
        </w:rPr>
        <w:t xml:space="preserve">cu eficiență superioară, favipiravirul a reprezentat singura opțiune terapeutică orală disponibilă. </w:t>
      </w:r>
    </w:p>
    <w:p w14:paraId="2DC57A10" w14:textId="77777777"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BE8721C" w14:textId="6FCEDD66" w:rsidR="005569A2" w:rsidRPr="004D2FCE" w:rsidRDefault="005569A2" w:rsidP="005569A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Rezultatele unor studii publicate în ultimul an au aratat eficiența scăzută a tratamentului cu Favipiravir pentru cazurile moderate sau medii în infecția SARS-CoV2, în paralel cu apariția unor </w:t>
      </w:r>
      <w:r w:rsidR="00461F3C" w:rsidRPr="004D2FCE">
        <w:rPr>
          <w:rFonts w:ascii="Times New Roman" w:eastAsia="Times New Roman" w:hAnsi="Times New Roman" w:cs="Times New Roman"/>
          <w:sz w:val="24"/>
          <w:szCs w:val="24"/>
          <w:bdr w:val="none" w:sz="0" w:space="0" w:color="auto" w:frame="1"/>
          <w:shd w:val="clear" w:color="auto" w:fill="FFFFFF"/>
        </w:rPr>
        <w:t xml:space="preserve">noi </w:t>
      </w:r>
      <w:r w:rsidRPr="004D2FCE">
        <w:rPr>
          <w:rFonts w:ascii="Times New Roman" w:eastAsia="Times New Roman" w:hAnsi="Times New Roman" w:cs="Times New Roman"/>
          <w:sz w:val="24"/>
          <w:szCs w:val="24"/>
          <w:bdr w:val="none" w:sz="0" w:space="0" w:color="auto" w:frame="1"/>
          <w:shd w:val="clear" w:color="auto" w:fill="FFFFFF"/>
        </w:rPr>
        <w:t xml:space="preserve">molecule antivirale cu eficiență superioară </w:t>
      </w:r>
      <w:r w:rsidRPr="004D2FCE">
        <w:rPr>
          <w:rFonts w:ascii="Times New Roman" w:eastAsia="Times New Roman" w:hAnsi="Times New Roman" w:cs="Times New Roman"/>
          <w:sz w:val="24"/>
          <w:szCs w:val="24"/>
          <w:bdr w:val="none" w:sz="0" w:space="0" w:color="auto" w:frame="1"/>
          <w:shd w:val="clear" w:color="auto" w:fill="FFFFFF"/>
          <w:vertAlign w:val="superscript"/>
        </w:rPr>
        <w:t>[</w:t>
      </w:r>
      <w:r w:rsidR="00DB083D">
        <w:rPr>
          <w:rFonts w:ascii="Times New Roman" w:eastAsia="Times New Roman" w:hAnsi="Times New Roman" w:cs="Times New Roman"/>
          <w:sz w:val="24"/>
          <w:szCs w:val="24"/>
          <w:bdr w:val="none" w:sz="0" w:space="0" w:color="auto" w:frame="1"/>
          <w:shd w:val="clear" w:color="auto" w:fill="FFFFFF"/>
          <w:vertAlign w:val="superscript"/>
        </w:rPr>
        <w:t>8,9</w:t>
      </w:r>
      <w:r w:rsidRPr="004D2FCE">
        <w:rPr>
          <w:rFonts w:ascii="Times New Roman" w:eastAsia="Times New Roman" w:hAnsi="Times New Roman" w:cs="Times New Roman"/>
          <w:sz w:val="24"/>
          <w:szCs w:val="24"/>
          <w:bdr w:val="none" w:sz="0" w:space="0" w:color="auto" w:frame="1"/>
          <w:shd w:val="clear" w:color="auto" w:fill="FFFFFF"/>
          <w:vertAlign w:val="superscript"/>
        </w:rPr>
        <w:t>]</w:t>
      </w:r>
      <w:r w:rsidR="00437E54" w:rsidRPr="004D2FCE">
        <w:rPr>
          <w:rFonts w:ascii="Times New Roman" w:eastAsia="Times New Roman" w:hAnsi="Times New Roman" w:cs="Times New Roman"/>
          <w:sz w:val="24"/>
          <w:szCs w:val="24"/>
          <w:bdr w:val="none" w:sz="0" w:space="0" w:color="auto" w:frame="1"/>
          <w:shd w:val="clear" w:color="auto" w:fill="FFFFFF"/>
        </w:rPr>
        <w:t xml:space="preserve">, care sunt recomandate </w:t>
      </w:r>
      <w:r w:rsidR="00461F3C" w:rsidRPr="004D2FCE">
        <w:rPr>
          <w:rFonts w:ascii="Times New Roman" w:eastAsia="Times New Roman" w:hAnsi="Times New Roman" w:cs="Times New Roman"/>
          <w:sz w:val="24"/>
          <w:szCs w:val="24"/>
          <w:bdr w:val="none" w:sz="0" w:space="0" w:color="auto" w:frame="1"/>
          <w:shd w:val="clear" w:color="auto" w:fill="FFFFFF"/>
        </w:rPr>
        <w:t xml:space="preserve">actualmente </w:t>
      </w:r>
      <w:r w:rsidR="00437E54" w:rsidRPr="004D2FCE">
        <w:rPr>
          <w:rFonts w:ascii="Times New Roman" w:eastAsia="Times New Roman" w:hAnsi="Times New Roman" w:cs="Times New Roman"/>
          <w:sz w:val="24"/>
          <w:szCs w:val="24"/>
          <w:bdr w:val="none" w:sz="0" w:space="0" w:color="auto" w:frame="1"/>
          <w:shd w:val="clear" w:color="auto" w:fill="FFFFFF"/>
        </w:rPr>
        <w:t>ca medicatie de prima alegere/medicatie alternativa (vezi tabel 1.)</w:t>
      </w:r>
    </w:p>
    <w:p w14:paraId="77D10EBD" w14:textId="77777777" w:rsidR="005569A2" w:rsidRPr="004D2FCE" w:rsidRDefault="005569A2"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33470023" w14:textId="77777777" w:rsidR="00E47D8D" w:rsidRPr="004D2FCE" w:rsidRDefault="00E47D8D"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39B714E2" w14:textId="4BE5359F" w:rsidR="00434BEE" w:rsidRPr="004D2FCE"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B.</w:t>
      </w:r>
      <w:r w:rsidR="00E47D8D" w:rsidRPr="004D2FCE">
        <w:rPr>
          <w:rFonts w:ascii="Times New Roman" w:eastAsia="Times New Roman" w:hAnsi="Times New Roman" w:cs="Times New Roman"/>
          <w:b/>
          <w:bCs/>
          <w:sz w:val="24"/>
          <w:szCs w:val="24"/>
          <w:bdr w:val="none" w:sz="0" w:space="0" w:color="auto" w:frame="1"/>
          <w:shd w:val="clear" w:color="auto" w:fill="FFFFFF"/>
        </w:rPr>
        <w:t>8</w:t>
      </w:r>
      <w:r w:rsidRPr="004D2FCE">
        <w:rPr>
          <w:rFonts w:ascii="Times New Roman" w:eastAsia="Times New Roman" w:hAnsi="Times New Roman" w:cs="Times New Roman"/>
          <w:b/>
          <w:bCs/>
          <w:sz w:val="24"/>
          <w:szCs w:val="24"/>
          <w:bdr w:val="none" w:sz="0" w:space="0" w:color="auto" w:frame="1"/>
          <w:shd w:val="clear" w:color="auto" w:fill="FFFFFF"/>
        </w:rPr>
        <w:t>.</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Intervenții terapeutice controversate</w:t>
      </w:r>
    </w:p>
    <w:p w14:paraId="11D4A0A8" w14:textId="77777777" w:rsidR="00434BEE" w:rsidRPr="004D2FCE" w:rsidRDefault="00434BEE"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p>
    <w:p w14:paraId="698C2F76" w14:textId="77777777" w:rsidR="00434BEE" w:rsidRPr="004D2FCE" w:rsidRDefault="00022853"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Deși s-a discutat necesitatea înlocuirii inhibitorilor ACE și/sau a sartanilor din tratamentul pacientului cu COVID-19, Societatea Europeană de Cardiologie a emis la 13 martie 2020 o recomandare de a fi menținuți în schemele de tratament. O recomandare identică a fost emisă în SUA în 17 martie 2020 de către Asociația Americană de Cardiologie.</w:t>
      </w:r>
    </w:p>
    <w:p w14:paraId="6D35F4C9" w14:textId="77777777" w:rsidR="00434BEE" w:rsidRPr="004D2FCE" w:rsidRDefault="00434BEE"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9FCA926" w14:textId="77777777" w:rsidR="00434BEE" w:rsidRPr="004D2FCE" w:rsidRDefault="00022853"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A existat o reticență privind utilizarea AINS în tratamentul COVID-19, legată de inhibarea efectului benefic al inflamației, susținută de date clinice restrânse. Este rațional să se administreze în scop simptomatic fie </w:t>
      </w:r>
      <w:r w:rsidRPr="004D2FCE">
        <w:rPr>
          <w:rFonts w:ascii="Times New Roman" w:eastAsia="Times New Roman" w:hAnsi="Times New Roman" w:cs="Times New Roman"/>
          <w:sz w:val="24"/>
          <w:szCs w:val="24"/>
          <w:bdr w:val="none" w:sz="0" w:space="0" w:color="auto" w:frame="1"/>
          <w:shd w:val="clear" w:color="auto" w:fill="FFFFFF"/>
        </w:rPr>
        <w:lastRenderedPageBreak/>
        <w:t>antitermice, fie AINS, ținându-se cont de contraindicații generale și de efectele adverse posibile ale fiecărei categorii de medicamente. Pacienții aflați în tratament cu AINS pentru diverse afecțiuni pot continua dacă nu există interacțiuni medicamentoase majore cu medicația pentru COVID-19, cu monitorizarea efectelor adverse.</w:t>
      </w:r>
    </w:p>
    <w:p w14:paraId="663CD78C" w14:textId="77777777" w:rsidR="00434BEE" w:rsidRPr="004D2FCE" w:rsidRDefault="00434BEE"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725F731" w14:textId="77777777" w:rsidR="00434BEE" w:rsidRPr="004D2FCE" w:rsidRDefault="00022853"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Sunt considerate inutile și chiar nocive: imunoglobuline de administrare intravenoasă, refacerea volemiei cu soluții coloidale (discutabil, pentru albumină), bilanțul hidric pozitiv la cazurile severe.</w:t>
      </w:r>
    </w:p>
    <w:p w14:paraId="1DA3447C" w14:textId="77777777" w:rsidR="00434BEE" w:rsidRPr="004D2FCE" w:rsidRDefault="00434BEE"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B871660" w14:textId="55EB1B73" w:rsidR="00434BEE" w:rsidRPr="004D2FCE" w:rsidRDefault="00434BEE" w:rsidP="00434BEE">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C.</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RECOMANDĂRI PRIVIND TRATAMENTUL CAZURILOR SPITALIZATE</w:t>
      </w:r>
    </w:p>
    <w:p w14:paraId="3788FF71" w14:textId="77777777" w:rsidR="00434BEE" w:rsidRPr="004D2FCE" w:rsidRDefault="00434BEE"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1E78AA1" w14:textId="287225BC" w:rsidR="00022853" w:rsidRPr="004D2FCE" w:rsidRDefault="00022853"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Sumarul recomandărilor privind tratamentul cazurilor de COVID-19 spitalizate în funcție de severitatea bolii este prezentat în tabelul 4.</w:t>
      </w:r>
    </w:p>
    <w:p w14:paraId="16B15BFD" w14:textId="77777777" w:rsidR="00C14E42" w:rsidRPr="004D2FCE" w:rsidRDefault="00C14E42" w:rsidP="001F7E60">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2D25F399" w14:textId="77777777" w:rsidR="00022853"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Tabelul 4. Tratament propus în funcție de severitatea cazului de COVID-19 la pacienții spitalizați</w:t>
      </w:r>
    </w:p>
    <w:p w14:paraId="1DBC64C6" w14:textId="77777777" w:rsidR="00434BEE" w:rsidRPr="004D2FCE" w:rsidRDefault="00434BE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W w:w="1019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912"/>
        <w:gridCol w:w="5026"/>
        <w:gridCol w:w="3260"/>
      </w:tblGrid>
      <w:tr w:rsidR="004D2FCE" w:rsidRPr="004D2FCE" w14:paraId="7E72CE59" w14:textId="77777777" w:rsidTr="00182DD4">
        <w:trPr>
          <w:trHeight w:val="331"/>
        </w:trPr>
        <w:tc>
          <w:tcPr>
            <w:tcW w:w="1912" w:type="dxa"/>
            <w:tcBorders>
              <w:top w:val="single" w:sz="6" w:space="0" w:color="000000"/>
              <w:left w:val="single" w:sz="6" w:space="0" w:color="000000"/>
              <w:bottom w:val="single" w:sz="6" w:space="0" w:color="000000"/>
              <w:right w:val="single" w:sz="6" w:space="0" w:color="000000"/>
            </w:tcBorders>
            <w:hideMark/>
          </w:tcPr>
          <w:p w14:paraId="2A990A93"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Forma de boală(severitate)</w:t>
            </w:r>
          </w:p>
        </w:tc>
        <w:tc>
          <w:tcPr>
            <w:tcW w:w="5026" w:type="dxa"/>
            <w:tcBorders>
              <w:top w:val="single" w:sz="6" w:space="0" w:color="000000"/>
              <w:left w:val="single" w:sz="6" w:space="0" w:color="000000"/>
              <w:bottom w:val="single" w:sz="6" w:space="0" w:color="000000"/>
              <w:right w:val="single" w:sz="6" w:space="0" w:color="000000"/>
            </w:tcBorders>
            <w:hideMark/>
          </w:tcPr>
          <w:p w14:paraId="4C3767F8"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Tratament recomandat</w:t>
            </w:r>
          </w:p>
        </w:tc>
        <w:tc>
          <w:tcPr>
            <w:tcW w:w="3260" w:type="dxa"/>
            <w:tcBorders>
              <w:top w:val="single" w:sz="6" w:space="0" w:color="000000"/>
              <w:left w:val="single" w:sz="6" w:space="0" w:color="000000"/>
              <w:bottom w:val="single" w:sz="6" w:space="0" w:color="000000"/>
              <w:right w:val="single" w:sz="6" w:space="0" w:color="000000"/>
            </w:tcBorders>
            <w:hideMark/>
          </w:tcPr>
          <w:p w14:paraId="049C6246"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Durata recomandată</w:t>
            </w:r>
          </w:p>
        </w:tc>
      </w:tr>
      <w:tr w:rsidR="004D2FCE" w:rsidRPr="004D2FCE" w14:paraId="4D960114"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15633202"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Asimptomatic</w:t>
            </w:r>
          </w:p>
        </w:tc>
        <w:tc>
          <w:tcPr>
            <w:tcW w:w="5026" w:type="dxa"/>
            <w:tcBorders>
              <w:top w:val="single" w:sz="6" w:space="0" w:color="000000"/>
              <w:left w:val="single" w:sz="6" w:space="0" w:color="000000"/>
              <w:bottom w:val="single" w:sz="6" w:space="0" w:color="000000"/>
              <w:right w:val="single" w:sz="6" w:space="0" w:color="000000"/>
            </w:tcBorders>
            <w:hideMark/>
          </w:tcPr>
          <w:p w14:paraId="19822C01"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Nu</w:t>
            </w:r>
          </w:p>
        </w:tc>
        <w:tc>
          <w:tcPr>
            <w:tcW w:w="3260" w:type="dxa"/>
            <w:tcBorders>
              <w:top w:val="single" w:sz="6" w:space="0" w:color="000000"/>
              <w:left w:val="single" w:sz="6" w:space="0" w:color="000000"/>
              <w:bottom w:val="single" w:sz="6" w:space="0" w:color="000000"/>
              <w:right w:val="single" w:sz="6" w:space="0" w:color="000000"/>
            </w:tcBorders>
            <w:hideMark/>
          </w:tcPr>
          <w:p w14:paraId="31DEDB76"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w:t>
            </w:r>
          </w:p>
        </w:tc>
      </w:tr>
      <w:tr w:rsidR="004D2FCE" w:rsidRPr="004D2FCE" w14:paraId="5392FB7A"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0EB4337C"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Ușoară</w:t>
            </w:r>
          </w:p>
          <w:p w14:paraId="3227E002"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Manifestări de IACRS</w:t>
            </w:r>
          </w:p>
        </w:tc>
        <w:tc>
          <w:tcPr>
            <w:tcW w:w="5026" w:type="dxa"/>
            <w:tcBorders>
              <w:top w:val="single" w:sz="6" w:space="0" w:color="000000"/>
              <w:left w:val="single" w:sz="6" w:space="0" w:color="000000"/>
              <w:bottom w:val="single" w:sz="6" w:space="0" w:color="000000"/>
              <w:right w:val="single" w:sz="6" w:space="0" w:color="000000"/>
            </w:tcBorders>
            <w:hideMark/>
          </w:tcPr>
          <w:p w14:paraId="3EC97CE6"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Simptomatice</w:t>
            </w:r>
          </w:p>
          <w:p w14:paraId="52C96B08"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Antiviral pentru pacientul cu factori de risc evolutiv sever</w:t>
            </w:r>
          </w:p>
          <w:p w14:paraId="141BE5D4" w14:textId="0DCBDC49"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 xml:space="preserve">Profilaxie anticoagulantă recomandată în </w:t>
            </w:r>
            <w:r w:rsidR="00080D95" w:rsidRPr="004D2FCE">
              <w:rPr>
                <w:rFonts w:ascii="Times New Roman" w:eastAsia="Times New Roman" w:hAnsi="Times New Roman" w:cs="Times New Roman"/>
                <w:iCs/>
                <w:sz w:val="20"/>
                <w:szCs w:val="20"/>
                <w:lang w:eastAsia="ro-RO"/>
              </w:rPr>
              <w:t xml:space="preserve">funcție de scorul de risc de tromboză </w:t>
            </w:r>
          </w:p>
        </w:tc>
        <w:tc>
          <w:tcPr>
            <w:tcW w:w="3260" w:type="dxa"/>
            <w:tcBorders>
              <w:top w:val="single" w:sz="6" w:space="0" w:color="000000"/>
              <w:left w:val="single" w:sz="6" w:space="0" w:color="000000"/>
              <w:bottom w:val="single" w:sz="6" w:space="0" w:color="000000"/>
              <w:right w:val="single" w:sz="6" w:space="0" w:color="000000"/>
            </w:tcBorders>
            <w:hideMark/>
          </w:tcPr>
          <w:p w14:paraId="0D4CBA47"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Depinde de evoluția pacientului.</w:t>
            </w:r>
          </w:p>
        </w:tc>
      </w:tr>
      <w:tr w:rsidR="004D2FCE" w:rsidRPr="004D2FCE" w14:paraId="7DA70F94"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48C64E50"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Medie</w:t>
            </w:r>
          </w:p>
          <w:p w14:paraId="7AB7287A" w14:textId="1EBA27EE" w:rsidR="00986B1A" w:rsidRPr="004D2FCE" w:rsidRDefault="00986B1A" w:rsidP="002E539B">
            <w:pPr>
              <w:spacing w:before="100" w:beforeAutospacing="1" w:after="100" w:afterAutospacing="1" w:line="240" w:lineRule="auto"/>
              <w:rPr>
                <w:rFonts w:ascii="Times New Roman" w:eastAsia="Times New Roman" w:hAnsi="Times New Roman" w:cs="Times New Roman"/>
                <w:iCs/>
                <w:strike/>
                <w:sz w:val="20"/>
                <w:szCs w:val="20"/>
                <w:lang w:eastAsia="ro-RO"/>
              </w:rPr>
            </w:pPr>
            <w:r w:rsidRPr="004D2FCE">
              <w:rPr>
                <w:rFonts w:ascii="Times New Roman" w:eastAsia="Times New Roman" w:hAnsi="Times New Roman" w:cs="Times New Roman"/>
                <w:iCs/>
                <w:sz w:val="20"/>
                <w:szCs w:val="20"/>
                <w:lang w:eastAsia="ro-RO"/>
              </w:rPr>
              <w:t>Pneumonie</w:t>
            </w:r>
            <w:r w:rsidR="002E539B" w:rsidRPr="004D2FCE">
              <w:rPr>
                <w:rFonts w:ascii="Times New Roman" w:eastAsia="Times New Roman" w:hAnsi="Times New Roman" w:cs="Times New Roman"/>
                <w:iCs/>
                <w:sz w:val="20"/>
                <w:szCs w:val="20"/>
                <w:lang w:eastAsia="ro-RO"/>
              </w:rPr>
              <w:t xml:space="preserve"> </w:t>
            </w:r>
            <w:r w:rsidR="002F1678" w:rsidRPr="004D2FCE">
              <w:rPr>
                <w:rFonts w:ascii="Times New Roman" w:eastAsia="Times New Roman" w:hAnsi="Times New Roman" w:cs="Times New Roman"/>
                <w:iCs/>
                <w:sz w:val="20"/>
                <w:szCs w:val="20"/>
                <w:lang w:eastAsia="ro-RO"/>
              </w:rPr>
              <w:t>fara necesar de oxigenoterapie</w:t>
            </w:r>
          </w:p>
        </w:tc>
        <w:tc>
          <w:tcPr>
            <w:tcW w:w="5026" w:type="dxa"/>
            <w:tcBorders>
              <w:top w:val="single" w:sz="6" w:space="0" w:color="000000"/>
              <w:left w:val="single" w:sz="6" w:space="0" w:color="000000"/>
              <w:bottom w:val="single" w:sz="6" w:space="0" w:color="000000"/>
              <w:right w:val="single" w:sz="6" w:space="0" w:color="000000"/>
            </w:tcBorders>
            <w:hideMark/>
          </w:tcPr>
          <w:p w14:paraId="5F98D338"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Simptomatice</w:t>
            </w:r>
          </w:p>
          <w:p w14:paraId="04EBF1C6"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Antiviral de administrat cât mai precoce</w:t>
            </w:r>
          </w:p>
          <w:p w14:paraId="6AA6F804"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Anticoagulante - profilaxie dacă au și altă indicație sau continuarea tratamentului cronic</w:t>
            </w:r>
          </w:p>
        </w:tc>
        <w:tc>
          <w:tcPr>
            <w:tcW w:w="3260" w:type="dxa"/>
            <w:tcBorders>
              <w:top w:val="single" w:sz="6" w:space="0" w:color="000000"/>
              <w:left w:val="single" w:sz="6" w:space="0" w:color="000000"/>
              <w:bottom w:val="single" w:sz="6" w:space="0" w:color="000000"/>
              <w:right w:val="single" w:sz="6" w:space="0" w:color="000000"/>
            </w:tcBorders>
            <w:hideMark/>
          </w:tcPr>
          <w:p w14:paraId="2285AF69"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Depinde de evoluția pacientului.</w:t>
            </w:r>
          </w:p>
        </w:tc>
      </w:tr>
      <w:tr w:rsidR="004D2FCE" w:rsidRPr="004D2FCE" w14:paraId="222D4986"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0D0DA910"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Severă*)/Critică**)</w:t>
            </w:r>
          </w:p>
        </w:tc>
        <w:tc>
          <w:tcPr>
            <w:tcW w:w="5026" w:type="dxa"/>
            <w:tcBorders>
              <w:top w:val="single" w:sz="6" w:space="0" w:color="000000"/>
              <w:left w:val="single" w:sz="6" w:space="0" w:color="000000"/>
              <w:bottom w:val="single" w:sz="6" w:space="0" w:color="000000"/>
              <w:right w:val="single" w:sz="6" w:space="0" w:color="000000"/>
            </w:tcBorders>
            <w:hideMark/>
          </w:tcPr>
          <w:p w14:paraId="601B8DDF"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Antivirale (rol clinic discutabil dincolo de 14 zile de la debutul simptomelor; poate favoriza limitarea transmiterii)</w:t>
            </w:r>
          </w:p>
          <w:p w14:paraId="1C1E93A8"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 anticoagulant - profilaxie sau terapie</w:t>
            </w:r>
          </w:p>
          <w:p w14:paraId="5C13603B"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 dexametazonă (corticoid), 10 zile sau în funcție de evoluție</w:t>
            </w:r>
          </w:p>
          <w:p w14:paraId="6E5FAD38"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 imunomodulare în cazuri selectate</w:t>
            </w:r>
          </w:p>
          <w:p w14:paraId="67852BDC"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iCs/>
                <w:sz w:val="20"/>
                <w:szCs w:val="20"/>
                <w:lang w:eastAsia="ro-RO"/>
              </w:rPr>
            </w:pPr>
            <w:r w:rsidRPr="004D2FCE">
              <w:rPr>
                <w:rFonts w:ascii="Times New Roman" w:eastAsia="Times New Roman" w:hAnsi="Times New Roman" w:cs="Times New Roman"/>
                <w:iCs/>
                <w:sz w:val="20"/>
                <w:szCs w:val="20"/>
                <w:lang w:eastAsia="ro-RO"/>
              </w:rPr>
              <w:t>În caz de coinfecții sau suprainfecții bacteriene: antibiotice</w:t>
            </w:r>
          </w:p>
          <w:p w14:paraId="7AF09420"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sz w:val="20"/>
                <w:szCs w:val="20"/>
                <w:lang w:eastAsia="ro-RO"/>
              </w:rPr>
              <w:t>Discutabil: plasma de convalescent la pacienți cu deficit de imunitate umorală</w:t>
            </w:r>
          </w:p>
        </w:tc>
        <w:tc>
          <w:tcPr>
            <w:tcW w:w="3260" w:type="dxa"/>
            <w:tcBorders>
              <w:top w:val="single" w:sz="6" w:space="0" w:color="000000"/>
              <w:left w:val="single" w:sz="6" w:space="0" w:color="000000"/>
              <w:bottom w:val="single" w:sz="6" w:space="0" w:color="000000"/>
              <w:right w:val="single" w:sz="6" w:space="0" w:color="000000"/>
            </w:tcBorders>
            <w:hideMark/>
          </w:tcPr>
          <w:p w14:paraId="7A6F7D77"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Depinde de evoluția pacientului.</w:t>
            </w:r>
          </w:p>
        </w:tc>
      </w:tr>
      <w:tr w:rsidR="004D2FCE" w:rsidRPr="004D2FCE" w14:paraId="12FB9CB8" w14:textId="77777777" w:rsidTr="00182DD4">
        <w:tc>
          <w:tcPr>
            <w:tcW w:w="10198" w:type="dxa"/>
            <w:gridSpan w:val="3"/>
            <w:tcBorders>
              <w:top w:val="single" w:sz="6" w:space="0" w:color="000000"/>
              <w:left w:val="nil"/>
              <w:bottom w:val="nil"/>
              <w:right w:val="nil"/>
            </w:tcBorders>
            <w:hideMark/>
          </w:tcPr>
          <w:p w14:paraId="3E6A66EE"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 Sever = minimum unul dintre: frecvența respiratorie ≥ 30/min (≥ 40/min la preșcolar); SaO2 ≤ 93%; PaO2/FiO2 &lt; 300; infiltrate pulmonare care cresc cu mai mult de 50% în 24 - 48 ore.</w:t>
            </w:r>
          </w:p>
        </w:tc>
      </w:tr>
      <w:tr w:rsidR="004D2FCE" w:rsidRPr="004D2FCE" w14:paraId="010BC323" w14:textId="77777777" w:rsidTr="00182DD4">
        <w:tc>
          <w:tcPr>
            <w:tcW w:w="10198" w:type="dxa"/>
            <w:gridSpan w:val="3"/>
            <w:tcBorders>
              <w:top w:val="nil"/>
              <w:left w:val="nil"/>
              <w:bottom w:val="nil"/>
              <w:right w:val="nil"/>
            </w:tcBorders>
            <w:hideMark/>
          </w:tcPr>
          <w:p w14:paraId="59B7F3AB" w14:textId="77777777" w:rsidR="00986B1A" w:rsidRPr="004D2FCE"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4D2FCE">
              <w:rPr>
                <w:rFonts w:ascii="Times New Roman" w:eastAsia="Times New Roman" w:hAnsi="Times New Roman" w:cs="Times New Roman"/>
                <w:iCs/>
                <w:sz w:val="20"/>
                <w:szCs w:val="20"/>
                <w:lang w:eastAsia="ro-RO"/>
              </w:rPr>
              <w:t>**) Critic = minimum unul dintre: detresă respiratorie acută; sepsis; alterarea conștienței; MSOF.</w:t>
            </w:r>
          </w:p>
        </w:tc>
      </w:tr>
    </w:tbl>
    <w:p w14:paraId="448050A0" w14:textId="77777777" w:rsidR="00986B1A" w:rsidRPr="004D2FCE" w:rsidRDefault="00986B1A" w:rsidP="00986B1A">
      <w:pPr>
        <w:spacing w:after="0" w:line="240" w:lineRule="auto"/>
        <w:jc w:val="both"/>
        <w:rPr>
          <w:rFonts w:ascii="Times New Roman" w:eastAsia="Times New Roman" w:hAnsi="Times New Roman" w:cs="Times New Roman"/>
          <w:iCs/>
          <w:sz w:val="20"/>
          <w:szCs w:val="20"/>
          <w:lang w:eastAsia="ro-RO"/>
        </w:rPr>
      </w:pPr>
    </w:p>
    <w:p w14:paraId="5B893633" w14:textId="77777777" w:rsidR="00434BEE" w:rsidRPr="004D2FCE" w:rsidRDefault="00434BEE" w:rsidP="00986B1A">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3B49CB4A" w14:textId="75B04AE0" w:rsidR="00986B1A" w:rsidRPr="004D2FCE" w:rsidRDefault="00986B1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D.</w:t>
      </w:r>
      <w:r w:rsidRPr="004D2FCE">
        <w:rPr>
          <w:rFonts w:ascii="Times New Roman" w:eastAsia="Times New Roman" w:hAnsi="Times New Roman" w:cs="Times New Roman"/>
          <w:b/>
          <w:sz w:val="24"/>
          <w:szCs w:val="24"/>
          <w:bdr w:val="dotted" w:sz="6" w:space="0" w:color="FEFEFE" w:frame="1"/>
          <w:shd w:val="clear" w:color="auto" w:fill="FFFFFF"/>
        </w:rPr>
        <w:t> </w:t>
      </w:r>
      <w:r w:rsidRPr="004D2FCE">
        <w:rPr>
          <w:rFonts w:ascii="Times New Roman" w:eastAsia="Times New Roman" w:hAnsi="Times New Roman" w:cs="Times New Roman"/>
          <w:b/>
          <w:sz w:val="24"/>
          <w:szCs w:val="24"/>
          <w:bdr w:val="none" w:sz="0" w:space="0" w:color="auto" w:frame="1"/>
          <w:shd w:val="clear" w:color="auto" w:fill="FFFFFF"/>
        </w:rPr>
        <w:t>RECOMANDĂRI PENTRU PACIENTUL ÎNGRIJIT LA DOMICILIU</w:t>
      </w:r>
    </w:p>
    <w:p w14:paraId="7C8F51BF" w14:textId="77777777" w:rsidR="00986B1A" w:rsidRPr="004D2FCE" w:rsidRDefault="00986B1A"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7444A320" w14:textId="77777777" w:rsidR="00986B1A"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1.</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 xml:space="preserve">Pentru pacientul </w:t>
      </w:r>
      <w:r w:rsidRPr="004D2FCE">
        <w:rPr>
          <w:rFonts w:ascii="Times New Roman" w:eastAsia="Times New Roman" w:hAnsi="Times New Roman" w:cs="Times New Roman"/>
          <w:b/>
          <w:i/>
          <w:sz w:val="24"/>
          <w:szCs w:val="24"/>
          <w:bdr w:val="none" w:sz="0" w:space="0" w:color="auto" w:frame="1"/>
          <w:shd w:val="clear" w:color="auto" w:fill="FFFFFF"/>
        </w:rPr>
        <w:t>asimptomatic</w:t>
      </w:r>
      <w:r w:rsidRPr="004D2FCE">
        <w:rPr>
          <w:rFonts w:ascii="Times New Roman" w:eastAsia="Times New Roman" w:hAnsi="Times New Roman" w:cs="Times New Roman"/>
          <w:sz w:val="24"/>
          <w:szCs w:val="24"/>
          <w:bdr w:val="none" w:sz="0" w:space="0" w:color="auto" w:frame="1"/>
          <w:shd w:val="clear" w:color="auto" w:fill="FFFFFF"/>
        </w:rPr>
        <w:t>:</w:t>
      </w:r>
    </w:p>
    <w:p w14:paraId="0F9CDB65" w14:textId="39F6DEB8" w:rsidR="00986B1A" w:rsidRPr="004D2FCE" w:rsidRDefault="00022853" w:rsidP="004B50B4">
      <w:pPr>
        <w:pStyle w:val="ListParagraph"/>
        <w:numPr>
          <w:ilvl w:val="2"/>
          <w:numId w:val="16"/>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nu necesită tratament, chiar dacă are factori de risc asociați în general cu evoluție mai severă a COVID-19;</w:t>
      </w:r>
    </w:p>
    <w:p w14:paraId="09D3BF6B" w14:textId="3F7C4837" w:rsidR="00986B1A" w:rsidRPr="004D2FCE" w:rsidRDefault="00022853" w:rsidP="004B50B4">
      <w:pPr>
        <w:pStyle w:val="ListParagraph"/>
        <w:numPr>
          <w:ilvl w:val="2"/>
          <w:numId w:val="16"/>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monitorizare la două zile.</w:t>
      </w:r>
    </w:p>
    <w:p w14:paraId="4603DC01" w14:textId="77777777" w:rsidR="00986B1A" w:rsidRPr="004D2FCE" w:rsidRDefault="00986B1A"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FE1493C" w14:textId="77777777" w:rsidR="00986B1A" w:rsidRPr="004D2FCE"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2.</w:t>
      </w:r>
      <w:r w:rsidRPr="004D2FCE">
        <w:rPr>
          <w:rFonts w:ascii="Times New Roman" w:eastAsia="Times New Roman" w:hAnsi="Times New Roman" w:cs="Times New Roman"/>
          <w:sz w:val="24"/>
          <w:szCs w:val="24"/>
          <w:bdr w:val="dotted" w:sz="6" w:space="0" w:color="FEFEFE" w:frame="1"/>
          <w:shd w:val="clear" w:color="auto" w:fill="FFFFFF"/>
        </w:rPr>
        <w:t> </w:t>
      </w:r>
      <w:r w:rsidRPr="004D2FCE">
        <w:rPr>
          <w:rFonts w:ascii="Times New Roman" w:eastAsia="Times New Roman" w:hAnsi="Times New Roman" w:cs="Times New Roman"/>
          <w:sz w:val="24"/>
          <w:szCs w:val="24"/>
          <w:bdr w:val="none" w:sz="0" w:space="0" w:color="auto" w:frame="1"/>
          <w:shd w:val="clear" w:color="auto" w:fill="FFFFFF"/>
        </w:rPr>
        <w:t xml:space="preserve">Pentru pacientul </w:t>
      </w:r>
      <w:r w:rsidRPr="004D2FCE">
        <w:rPr>
          <w:rFonts w:ascii="Times New Roman" w:eastAsia="Times New Roman" w:hAnsi="Times New Roman" w:cs="Times New Roman"/>
          <w:b/>
          <w:i/>
          <w:sz w:val="24"/>
          <w:szCs w:val="24"/>
          <w:bdr w:val="none" w:sz="0" w:space="0" w:color="auto" w:frame="1"/>
          <w:shd w:val="clear" w:color="auto" w:fill="FFFFFF"/>
        </w:rPr>
        <w:t>simptomatic</w:t>
      </w:r>
      <w:r w:rsidRPr="004D2FCE">
        <w:rPr>
          <w:rFonts w:ascii="Times New Roman" w:eastAsia="Times New Roman" w:hAnsi="Times New Roman" w:cs="Times New Roman"/>
          <w:sz w:val="24"/>
          <w:szCs w:val="24"/>
          <w:bdr w:val="none" w:sz="0" w:space="0" w:color="auto" w:frame="1"/>
          <w:shd w:val="clear" w:color="auto" w:fill="FFFFFF"/>
        </w:rPr>
        <w:t>:</w:t>
      </w:r>
    </w:p>
    <w:p w14:paraId="3388F695" w14:textId="7F2AE430" w:rsidR="00986B1A" w:rsidRPr="004D2FCE" w:rsidRDefault="00022853" w:rsidP="004B50B4">
      <w:pPr>
        <w:pStyle w:val="ListParagraph"/>
        <w:numPr>
          <w:ilvl w:val="2"/>
          <w:numId w:val="17"/>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simptomaticele sunt permise - a se vedea capitolul B.6. Simptomatice și alte măsuri terapeutice;</w:t>
      </w:r>
    </w:p>
    <w:p w14:paraId="4E83929E" w14:textId="5EEC79E2" w:rsidR="00986B1A" w:rsidRPr="004D2FCE" w:rsidRDefault="00022853" w:rsidP="004B50B4">
      <w:pPr>
        <w:pStyle w:val="ListParagraph"/>
        <w:numPr>
          <w:ilvl w:val="2"/>
          <w:numId w:val="17"/>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profilaxia anticoagulantă: pacienții cu forme medii și severe care rămân la domiciliu pot primi profilaxie a trombozelor dacă au și alți factori de r</w:t>
      </w:r>
      <w:r w:rsidR="00352E71" w:rsidRPr="004D2FCE">
        <w:rPr>
          <w:rFonts w:ascii="Times New Roman" w:eastAsia="Times New Roman" w:hAnsi="Times New Roman" w:cs="Times New Roman"/>
          <w:sz w:val="24"/>
          <w:szCs w:val="24"/>
          <w:bdr w:val="none" w:sz="0" w:space="0" w:color="auto" w:frame="1"/>
          <w:shd w:val="clear" w:color="auto" w:fill="FFFFFF"/>
        </w:rPr>
        <w:t>isc pentru tromboze, de exemplu</w:t>
      </w:r>
      <w:r w:rsidRPr="004D2FCE">
        <w:rPr>
          <w:rFonts w:ascii="Times New Roman" w:eastAsia="Times New Roman" w:hAnsi="Times New Roman" w:cs="Times New Roman"/>
          <w:sz w:val="24"/>
          <w:szCs w:val="24"/>
          <w:bdr w:val="none" w:sz="0" w:space="0" w:color="auto" w:frame="1"/>
          <w:shd w:val="clear" w:color="auto" w:fill="FFFFFF"/>
        </w:rPr>
        <w:t xml:space="preserve"> imobilizarea la pat.</w:t>
      </w:r>
    </w:p>
    <w:p w14:paraId="1AC17439" w14:textId="7EDAD529" w:rsidR="00986B1A" w:rsidRPr="004D2FCE" w:rsidRDefault="00022853" w:rsidP="004B50B4">
      <w:pPr>
        <w:pStyle w:val="ListParagraph"/>
        <w:numPr>
          <w:ilvl w:val="2"/>
          <w:numId w:val="17"/>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lastRenderedPageBreak/>
        <w:t>nu se administrează antibiotice (</w:t>
      </w:r>
      <w:r w:rsidR="00352E71" w:rsidRPr="004D2FCE">
        <w:rPr>
          <w:rFonts w:ascii="Times New Roman" w:eastAsia="Times New Roman" w:hAnsi="Times New Roman" w:cs="Times New Roman"/>
          <w:sz w:val="24"/>
          <w:szCs w:val="24"/>
          <w:bdr w:val="none" w:sz="0" w:space="0" w:color="auto" w:frame="1"/>
          <w:shd w:val="clear" w:color="auto" w:fill="FFFFFF"/>
        </w:rPr>
        <w:t>ex:</w:t>
      </w:r>
      <w:r w:rsidRPr="004D2FCE">
        <w:rPr>
          <w:rFonts w:ascii="Times New Roman" w:eastAsia="Times New Roman" w:hAnsi="Times New Roman" w:cs="Times New Roman"/>
          <w:sz w:val="24"/>
          <w:szCs w:val="24"/>
          <w:bdr w:val="none" w:sz="0" w:space="0" w:color="auto" w:frame="1"/>
          <w:shd w:val="clear" w:color="auto" w:fill="FFFFFF"/>
        </w:rPr>
        <w:t xml:space="preserve"> azitromicina) pentru a trata o viroză, așa cum este COVID-19;</w:t>
      </w:r>
    </w:p>
    <w:p w14:paraId="78AA20B3" w14:textId="07643AA6" w:rsidR="00986B1A" w:rsidRPr="004D2FCE" w:rsidRDefault="00022853" w:rsidP="004B50B4">
      <w:pPr>
        <w:pStyle w:val="ListParagraph"/>
        <w:numPr>
          <w:ilvl w:val="2"/>
          <w:numId w:val="17"/>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este contraindicată administrarea de dexametazonă sau de alți corticosteroizi în perioada inițială a bolii, cu manifestări ale formelor ușoare sau medii de COVID-19 (fără necesar de oxigenoterapie) pentru că poate stimula replicarea virală și agravează evoluția bolii;</w:t>
      </w:r>
    </w:p>
    <w:p w14:paraId="1A90BEE8" w14:textId="4E33A312" w:rsidR="00986B1A" w:rsidRPr="004D2FCE" w:rsidRDefault="00022853" w:rsidP="004B50B4">
      <w:pPr>
        <w:pStyle w:val="ListParagraph"/>
        <w:numPr>
          <w:ilvl w:val="2"/>
          <w:numId w:val="17"/>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antiviralele de administrare orală se pot prescrie pentru administrare în regim ambulatoriu doar dacă sunt îndeplinite simultan următoarele condiții:</w:t>
      </w:r>
    </w:p>
    <w:p w14:paraId="2C308EB7" w14:textId="732F7254" w:rsidR="00352E71" w:rsidRPr="004D2FCE" w:rsidRDefault="00022853" w:rsidP="004B50B4">
      <w:pPr>
        <w:pStyle w:val="ListParagraph"/>
        <w:numPr>
          <w:ilvl w:val="0"/>
          <w:numId w:val="18"/>
        </w:num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se i</w:t>
      </w:r>
      <w:r w:rsidR="00352E71" w:rsidRPr="004D2FCE">
        <w:rPr>
          <w:rFonts w:ascii="Times New Roman" w:eastAsia="Times New Roman" w:hAnsi="Times New Roman" w:cs="Times New Roman"/>
          <w:sz w:val="24"/>
          <w:szCs w:val="24"/>
          <w:bdr w:val="none" w:sz="0" w:space="0" w:color="auto" w:frame="1"/>
          <w:shd w:val="clear" w:color="auto" w:fill="FFFFFF"/>
        </w:rPr>
        <w:t>nițiază la pacienți în primele 5</w:t>
      </w:r>
      <w:r w:rsidRPr="004D2FCE">
        <w:rPr>
          <w:rFonts w:ascii="Times New Roman" w:eastAsia="Times New Roman" w:hAnsi="Times New Roman" w:cs="Times New Roman"/>
          <w:sz w:val="24"/>
          <w:szCs w:val="24"/>
          <w:bdr w:val="none" w:sz="0" w:space="0" w:color="auto" w:frame="1"/>
          <w:shd w:val="clear" w:color="auto" w:fill="FFFFFF"/>
        </w:rPr>
        <w:t xml:space="preserve"> zile de boală (faza virală a bolii);</w:t>
      </w:r>
    </w:p>
    <w:p w14:paraId="6E3C9CAB" w14:textId="22197BF2" w:rsidR="00352E71" w:rsidRPr="004D2FCE" w:rsidRDefault="00022853" w:rsidP="004B50B4">
      <w:pPr>
        <w:pStyle w:val="ListParagraph"/>
        <w:numPr>
          <w:ilvl w:val="0"/>
          <w:numId w:val="18"/>
        </w:num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pacientul este evaluat corespunzător pentru excluderea contraindicațiilor: clinic, biologic, imagistic;</w:t>
      </w:r>
    </w:p>
    <w:p w14:paraId="625F3805" w14:textId="25F4D55E" w:rsidR="00352E71" w:rsidRPr="004D2FCE" w:rsidRDefault="00022853" w:rsidP="004B50B4">
      <w:pPr>
        <w:pStyle w:val="ListParagraph"/>
        <w:numPr>
          <w:ilvl w:val="0"/>
          <w:numId w:val="18"/>
        </w:num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sunt prescrise de către medicul care a evaluat pacientul.</w:t>
      </w:r>
    </w:p>
    <w:p w14:paraId="49E6B227" w14:textId="77777777" w:rsidR="00352E71" w:rsidRPr="004D2FCE" w:rsidRDefault="00352E71" w:rsidP="00352E71">
      <w:pPr>
        <w:spacing w:after="0" w:line="240" w:lineRule="auto"/>
        <w:ind w:left="720" w:right="72" w:hanging="360"/>
        <w:jc w:val="both"/>
        <w:rPr>
          <w:rFonts w:ascii="Times New Roman" w:eastAsia="Times New Roman" w:hAnsi="Times New Roman" w:cs="Times New Roman"/>
          <w:sz w:val="24"/>
          <w:szCs w:val="24"/>
          <w:bdr w:val="none" w:sz="0" w:space="0" w:color="auto" w:frame="1"/>
          <w:shd w:val="clear" w:color="auto" w:fill="FFFFFF"/>
        </w:rPr>
      </w:pPr>
    </w:p>
    <w:p w14:paraId="4E174E08" w14:textId="2D22B108" w:rsidR="00352E71" w:rsidRPr="004D2FCE" w:rsidRDefault="00022853" w:rsidP="00C14E42">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Medicul de familie are obligația de a continua monitorizarea pacientului pe parcursul tratamentului și ulterior până la vindecare.</w:t>
      </w:r>
    </w:p>
    <w:p w14:paraId="6FD0174C" w14:textId="77777777" w:rsidR="00080D95" w:rsidRPr="004D2FCE" w:rsidRDefault="00080D95" w:rsidP="00C14E42">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241FF9DE" w14:textId="52C575B1" w:rsidR="00080D95" w:rsidRPr="004D2FCE" w:rsidRDefault="00080D95" w:rsidP="00C14E42">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Medicația antivirală orală se va recomanda la indicația medicului curant din centrele de evaluare</w:t>
      </w:r>
      <w:r w:rsidR="00871551" w:rsidRPr="004D2FCE">
        <w:rPr>
          <w:rFonts w:ascii="Times New Roman" w:eastAsia="Times New Roman" w:hAnsi="Times New Roman" w:cs="Times New Roman"/>
          <w:sz w:val="24"/>
          <w:szCs w:val="24"/>
          <w:bdr w:val="none" w:sz="0" w:space="0" w:color="auto" w:frame="1"/>
          <w:shd w:val="clear" w:color="auto" w:fill="FFFFFF"/>
        </w:rPr>
        <w:t>, care după evaluarea pacientului va elibera medicatia antivirală pentru a fi administrată ambulator.</w:t>
      </w:r>
      <w:r w:rsidRPr="004D2FCE">
        <w:rPr>
          <w:rFonts w:ascii="Times New Roman" w:eastAsia="Times New Roman" w:hAnsi="Times New Roman" w:cs="Times New Roman"/>
          <w:sz w:val="24"/>
          <w:szCs w:val="24"/>
          <w:bdr w:val="none" w:sz="0" w:space="0" w:color="auto" w:frame="1"/>
          <w:shd w:val="clear" w:color="auto" w:fill="FFFFFF"/>
        </w:rPr>
        <w:t xml:space="preserve"> </w:t>
      </w:r>
    </w:p>
    <w:p w14:paraId="35ECDDA0" w14:textId="77777777" w:rsidR="00352E71" w:rsidRPr="004D2FCE" w:rsidRDefault="00352E71"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p>
    <w:p w14:paraId="5AFF1BB0" w14:textId="484381A3" w:rsidR="00352E71" w:rsidRPr="004D2FCE" w:rsidRDefault="00022853" w:rsidP="00352E71">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Medicația antivirală de administrare parenterală se utilizează doar în mediul spitalicesc, în regim </w:t>
      </w:r>
      <w:r w:rsidR="00871551" w:rsidRPr="004D2FCE">
        <w:rPr>
          <w:rFonts w:ascii="Times New Roman" w:eastAsia="Times New Roman" w:hAnsi="Times New Roman" w:cs="Times New Roman"/>
          <w:sz w:val="24"/>
          <w:szCs w:val="24"/>
          <w:bdr w:val="none" w:sz="0" w:space="0" w:color="auto" w:frame="1"/>
          <w:shd w:val="clear" w:color="auto" w:fill="FFFFFF"/>
        </w:rPr>
        <w:t xml:space="preserve">de </w:t>
      </w:r>
      <w:r w:rsidRPr="004D2FCE">
        <w:rPr>
          <w:rFonts w:ascii="Times New Roman" w:eastAsia="Times New Roman" w:hAnsi="Times New Roman" w:cs="Times New Roman"/>
          <w:sz w:val="24"/>
          <w:szCs w:val="24"/>
          <w:bdr w:val="none" w:sz="0" w:space="0" w:color="auto" w:frame="1"/>
          <w:shd w:val="clear" w:color="auto" w:fill="FFFFFF"/>
        </w:rPr>
        <w:t>spitalizare continuă.</w:t>
      </w:r>
    </w:p>
    <w:p w14:paraId="3D209DAB" w14:textId="77777777" w:rsidR="00352E71" w:rsidRPr="004D2FCE" w:rsidRDefault="00352E71"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p>
    <w:p w14:paraId="274D70FB" w14:textId="77777777" w:rsidR="00352E71" w:rsidRPr="004D2FCE" w:rsidRDefault="00022853" w:rsidP="00352E71">
      <w:pPr>
        <w:spacing w:after="0" w:line="240" w:lineRule="auto"/>
        <w:ind w:right="72"/>
        <w:jc w:val="both"/>
        <w:rPr>
          <w:rFonts w:ascii="Times New Roman" w:eastAsia="Times New Roman" w:hAnsi="Times New Roman" w:cs="Times New Roman"/>
          <w:b/>
          <w:i/>
          <w:sz w:val="24"/>
          <w:szCs w:val="24"/>
          <w:bdr w:val="none" w:sz="0" w:space="0" w:color="auto" w:frame="1"/>
          <w:shd w:val="clear" w:color="auto" w:fill="FFFFFF"/>
        </w:rPr>
      </w:pPr>
      <w:r w:rsidRPr="004D2FCE">
        <w:rPr>
          <w:rFonts w:ascii="Times New Roman" w:eastAsia="Times New Roman" w:hAnsi="Times New Roman" w:cs="Times New Roman"/>
          <w:b/>
          <w:i/>
          <w:sz w:val="24"/>
          <w:szCs w:val="24"/>
          <w:bdr w:val="none" w:sz="0" w:space="0" w:color="auto" w:frame="1"/>
          <w:shd w:val="clear" w:color="auto" w:fill="FFFFFF"/>
        </w:rPr>
        <w:t xml:space="preserve">Observație: </w:t>
      </w:r>
    </w:p>
    <w:p w14:paraId="0CE6B844" w14:textId="77777777" w:rsidR="00352E71" w:rsidRPr="004D2FCE" w:rsidRDefault="00022853" w:rsidP="00352E71">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La pacienții cu COVID-19 îngrijiți ambulator se prescriu în mod nejustificat antibiotice, antigripale și corticoizi de către medicii care îi evaluează și/sau îi monitorizează. Trebuie știut că:</w:t>
      </w:r>
    </w:p>
    <w:p w14:paraId="19434AFA" w14:textId="4BD1ABB2" w:rsidR="00352E71" w:rsidRPr="004D2FCE" w:rsidRDefault="00022853" w:rsidP="004B50B4">
      <w:pPr>
        <w:pStyle w:val="ListParagraph"/>
        <w:numPr>
          <w:ilvl w:val="0"/>
          <w:numId w:val="19"/>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utilizarea de azitromicină și de alte antibiotice la pacientul cu COVID-19 îngrijit la domiciliu reprezintă de cele mai multe ori un abuz, cu consecințe asupra pacientului, care poate dezvolta efecte colaterale ale administrării de antibiotice (diaree cu C. difficile, candidoze, selectare de bacterii rezistente);</w:t>
      </w:r>
    </w:p>
    <w:p w14:paraId="2B268D33" w14:textId="0E41DB49" w:rsidR="00352E71" w:rsidRPr="004D2FCE" w:rsidRDefault="00022853" w:rsidP="004B50B4">
      <w:pPr>
        <w:pStyle w:val="ListParagraph"/>
        <w:numPr>
          <w:ilvl w:val="0"/>
          <w:numId w:val="19"/>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inițierea unui tratament cu corticoizi la pacientul cu COVID-19 aflat la domiciliu în primele zile de boală (fără necesar de oxigenoterapie) reprezintă de regulă un abuz și poate avea drept consecință o evoluție prelungită sau agravată a bolii.</w:t>
      </w:r>
    </w:p>
    <w:p w14:paraId="1DAC048C" w14:textId="2035887B" w:rsidR="00352E71" w:rsidRPr="004D2FCE" w:rsidRDefault="00022853" w:rsidP="004B50B4">
      <w:pPr>
        <w:pStyle w:val="ListParagraph"/>
        <w:numPr>
          <w:ilvl w:val="0"/>
          <w:numId w:val="19"/>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oseltamivirul nu este eficient în cazul infecției cu SARS- CoV-2, ci în tratamentul și profilaxia gripei.</w:t>
      </w:r>
    </w:p>
    <w:p w14:paraId="40466B38" w14:textId="77777777" w:rsidR="00352E71" w:rsidRPr="004D2FCE" w:rsidRDefault="00352E71"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p>
    <w:p w14:paraId="4180407E" w14:textId="4E908AFD" w:rsidR="00352E71" w:rsidRPr="004D2FCE" w:rsidRDefault="00022853" w:rsidP="00352E71">
      <w:pPr>
        <w:spacing w:after="0" w:line="240" w:lineRule="auto"/>
        <w:ind w:right="72"/>
        <w:jc w:val="both"/>
        <w:rPr>
          <w:rFonts w:ascii="Times New Roman" w:eastAsia="Times New Roman" w:hAnsi="Times New Roman" w:cs="Times New Roman"/>
          <w:sz w:val="24"/>
          <w:szCs w:val="24"/>
          <w:bdr w:val="dotted" w:sz="6" w:space="0" w:color="FEFEFE" w:frame="1"/>
          <w:shd w:val="clear" w:color="auto" w:fill="FFFFFF"/>
        </w:rPr>
      </w:pPr>
      <w:r w:rsidRPr="004D2FCE">
        <w:rPr>
          <w:rFonts w:ascii="Times New Roman" w:eastAsia="Times New Roman" w:hAnsi="Times New Roman" w:cs="Times New Roman"/>
          <w:b/>
          <w:bCs/>
          <w:sz w:val="24"/>
          <w:szCs w:val="24"/>
          <w:bdr w:val="none" w:sz="0" w:space="0" w:color="auto" w:frame="1"/>
          <w:shd w:val="clear" w:color="auto" w:fill="FFFFFF"/>
        </w:rPr>
        <w:t>3.</w:t>
      </w:r>
      <w:r w:rsidRPr="004D2FCE">
        <w:rPr>
          <w:rFonts w:ascii="Times New Roman" w:eastAsia="Times New Roman" w:hAnsi="Times New Roman" w:cs="Times New Roman"/>
          <w:sz w:val="24"/>
          <w:szCs w:val="24"/>
          <w:bdr w:val="dotted" w:sz="6" w:space="0" w:color="FEFEFE" w:frame="1"/>
          <w:shd w:val="clear" w:color="auto" w:fill="FFFFFF"/>
        </w:rPr>
        <w:t> </w:t>
      </w:r>
      <w:r w:rsidR="00352E71" w:rsidRPr="004D2FCE">
        <w:rPr>
          <w:rFonts w:ascii="Times New Roman" w:eastAsia="Times New Roman" w:hAnsi="Times New Roman" w:cs="Times New Roman"/>
          <w:sz w:val="24"/>
          <w:szCs w:val="24"/>
          <w:bdr w:val="dotted" w:sz="6" w:space="0" w:color="FEFEFE" w:frame="1"/>
          <w:shd w:val="clear" w:color="auto" w:fill="FFFFFF"/>
        </w:rPr>
        <w:t>Pacienţii cu COVID-19 monitorizaţi la domiciliu vor fi îndrumaţi de urgenţă în vederea internării, prin intermediul serviciului 112, în situaţia existenţei următoarelor simptome:</w:t>
      </w:r>
    </w:p>
    <w:p w14:paraId="571E8F34" w14:textId="77777777" w:rsidR="00352E71" w:rsidRPr="004D2FCE"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4D2FCE">
        <w:rPr>
          <w:rFonts w:ascii="Times New Roman" w:eastAsia="Times New Roman" w:hAnsi="Times New Roman" w:cs="Times New Roman"/>
          <w:iCs/>
          <w:sz w:val="24"/>
          <w:szCs w:val="24"/>
          <w:lang w:eastAsia="ro-RO"/>
        </w:rPr>
        <w:t>febră înaltă persistentă mai mult de 5 zile sau care reapare după o perioadă de afebrilitate;</w:t>
      </w:r>
    </w:p>
    <w:p w14:paraId="4A68AD29" w14:textId="77777777" w:rsidR="00352E71" w:rsidRPr="004D2FCE"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4D2FCE">
        <w:rPr>
          <w:rFonts w:ascii="Times New Roman" w:eastAsia="Times New Roman" w:hAnsi="Times New Roman" w:cs="Times New Roman"/>
          <w:iCs/>
          <w:sz w:val="24"/>
          <w:szCs w:val="24"/>
          <w:lang w:eastAsia="ro-RO"/>
        </w:rPr>
        <w:t>tuse seacă intensă sau care se accentuează;</w:t>
      </w:r>
    </w:p>
    <w:p w14:paraId="2CC7CD9F" w14:textId="77777777" w:rsidR="00352E71" w:rsidRPr="004D2FCE"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4D2FCE">
        <w:rPr>
          <w:rFonts w:ascii="Times New Roman" w:eastAsia="Times New Roman" w:hAnsi="Times New Roman" w:cs="Times New Roman"/>
          <w:iCs/>
          <w:sz w:val="24"/>
          <w:szCs w:val="24"/>
          <w:lang w:eastAsia="ro-RO"/>
        </w:rPr>
        <w:t>SaO2 &lt; 94% la pacientul fără afectări respiratorii anterioare COVID-19;</w:t>
      </w:r>
    </w:p>
    <w:p w14:paraId="08280A6E" w14:textId="77777777" w:rsidR="00352E71" w:rsidRPr="004D2FCE"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4D2FCE">
        <w:rPr>
          <w:rFonts w:ascii="Times New Roman" w:eastAsia="Times New Roman" w:hAnsi="Times New Roman" w:cs="Times New Roman"/>
          <w:iCs/>
          <w:sz w:val="24"/>
          <w:szCs w:val="24"/>
          <w:lang w:eastAsia="ro-RO"/>
        </w:rPr>
        <w:t>dispnee nou apărută sau accentuarea unei dispnei preexistente;</w:t>
      </w:r>
    </w:p>
    <w:p w14:paraId="0324E43F" w14:textId="77777777" w:rsidR="00352E71" w:rsidRPr="004D2FCE"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4D2FCE">
        <w:rPr>
          <w:rFonts w:ascii="Times New Roman" w:eastAsia="Times New Roman" w:hAnsi="Times New Roman" w:cs="Times New Roman"/>
          <w:iCs/>
          <w:sz w:val="24"/>
          <w:szCs w:val="24"/>
          <w:lang w:eastAsia="ro-RO"/>
        </w:rPr>
        <w:t>dureri toracice la inspirul profund;</w:t>
      </w:r>
    </w:p>
    <w:p w14:paraId="395506E6" w14:textId="77777777" w:rsidR="00352E71" w:rsidRPr="004D2FCE"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4D2FCE">
        <w:rPr>
          <w:rFonts w:ascii="Times New Roman" w:eastAsia="Times New Roman" w:hAnsi="Times New Roman" w:cs="Times New Roman"/>
          <w:iCs/>
          <w:sz w:val="24"/>
          <w:szCs w:val="24"/>
          <w:lang w:eastAsia="ro-RO"/>
        </w:rPr>
        <w:t>astenie marcată;</w:t>
      </w:r>
    </w:p>
    <w:p w14:paraId="62FE907F" w14:textId="480DE0BA" w:rsidR="00352E71" w:rsidRPr="004D2FCE" w:rsidRDefault="00352E71" w:rsidP="00685699">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4D2FCE">
        <w:rPr>
          <w:rFonts w:ascii="Times New Roman" w:eastAsia="Times New Roman" w:hAnsi="Times New Roman" w:cs="Times New Roman"/>
          <w:iCs/>
          <w:sz w:val="24"/>
          <w:szCs w:val="24"/>
          <w:lang w:eastAsia="ro-RO"/>
        </w:rPr>
        <w:t>mialgii intense.</w:t>
      </w:r>
    </w:p>
    <w:p w14:paraId="5AFA3665" w14:textId="77777777" w:rsidR="00352E71" w:rsidRPr="004D2FCE" w:rsidRDefault="00352E71"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p>
    <w:p w14:paraId="1F73F3CD" w14:textId="7D4C36C1" w:rsidR="00052142" w:rsidRPr="004D2FCE" w:rsidRDefault="00022853"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Pacienții cu COVID-19 monitorizați la domiciliu vor fi îndrumați de urgență pentru investigare în centrele de evaluare</w:t>
      </w:r>
      <w:r w:rsidR="00871551" w:rsidRPr="004D2FCE">
        <w:rPr>
          <w:rFonts w:ascii="Times New Roman" w:eastAsia="Times New Roman" w:hAnsi="Times New Roman" w:cs="Times New Roman"/>
          <w:sz w:val="24"/>
          <w:szCs w:val="24"/>
          <w:bdr w:val="none" w:sz="0" w:space="0" w:color="auto" w:frame="1"/>
          <w:shd w:val="clear" w:color="auto" w:fill="FFFFFF"/>
        </w:rPr>
        <w:t xml:space="preserve">, a căror listă este </w:t>
      </w:r>
      <w:r w:rsidRPr="004D2FCE">
        <w:rPr>
          <w:rFonts w:ascii="Times New Roman" w:eastAsia="Times New Roman" w:hAnsi="Times New Roman" w:cs="Times New Roman"/>
          <w:sz w:val="24"/>
          <w:szCs w:val="24"/>
          <w:bdr w:val="none" w:sz="0" w:space="0" w:color="auto" w:frame="1"/>
          <w:shd w:val="clear" w:color="auto" w:fill="FFFFFF"/>
        </w:rPr>
        <w:t>publicată pe pagina web a Ministerului Sănătății și a direcțiilor de sănătate publică județene și a municipiului București</w:t>
      </w:r>
      <w:r w:rsidR="00871551" w:rsidRPr="004D2FCE">
        <w:rPr>
          <w:rFonts w:ascii="Times New Roman" w:eastAsia="Times New Roman" w:hAnsi="Times New Roman" w:cs="Times New Roman"/>
          <w:sz w:val="24"/>
          <w:szCs w:val="24"/>
          <w:bdr w:val="none" w:sz="0" w:space="0" w:color="auto" w:frame="1"/>
          <w:shd w:val="clear" w:color="auto" w:fill="FFFFFF"/>
        </w:rPr>
        <w:t>.</w:t>
      </w:r>
      <w:r w:rsidRPr="004D2FCE">
        <w:rPr>
          <w:rFonts w:ascii="Times New Roman" w:eastAsia="Times New Roman" w:hAnsi="Times New Roman" w:cs="Times New Roman"/>
          <w:sz w:val="24"/>
          <w:szCs w:val="24"/>
          <w:bdr w:val="none" w:sz="0" w:space="0" w:color="auto" w:frame="1"/>
          <w:shd w:val="clear" w:color="auto" w:fill="FFFFFF"/>
        </w:rPr>
        <w:t xml:space="preserve"> </w:t>
      </w:r>
    </w:p>
    <w:p w14:paraId="07F6072C" w14:textId="77777777" w:rsidR="00052142" w:rsidRPr="004D2FCE" w:rsidRDefault="00052142"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p>
    <w:p w14:paraId="07C93B90" w14:textId="77777777" w:rsidR="00352E71" w:rsidRPr="004D2FCE" w:rsidRDefault="00352E71" w:rsidP="00052142">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6D06229A" w14:textId="77777777" w:rsidR="00052142" w:rsidRPr="004D2FCE" w:rsidRDefault="00052142"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9BC49E1" w14:textId="77777777" w:rsidR="00052142" w:rsidRPr="004D2FCE" w:rsidRDefault="00052142" w:rsidP="00052142">
      <w:pPr>
        <w:contextualSpacing/>
        <w:jc w:val="both"/>
        <w:rPr>
          <w:rFonts w:ascii="Times New Roman" w:eastAsia="Times New Roman" w:hAnsi="Times New Roman" w:cs="Times New Roman"/>
          <w:sz w:val="24"/>
          <w:szCs w:val="24"/>
          <w:bdr w:val="none" w:sz="0" w:space="0" w:color="auto" w:frame="1"/>
          <w:shd w:val="clear" w:color="auto" w:fill="FFFFFF"/>
        </w:rPr>
      </w:pPr>
    </w:p>
    <w:p w14:paraId="13C21D9F" w14:textId="77777777" w:rsidR="0097754E" w:rsidRPr="004D2FCE" w:rsidRDefault="0097754E" w:rsidP="00052142">
      <w:pPr>
        <w:contextualSpacing/>
        <w:jc w:val="both"/>
        <w:rPr>
          <w:rFonts w:ascii="Times New Roman" w:eastAsia="Times New Roman" w:hAnsi="Times New Roman" w:cs="Times New Roman"/>
          <w:sz w:val="24"/>
          <w:szCs w:val="24"/>
          <w:bdr w:val="none" w:sz="0" w:space="0" w:color="auto" w:frame="1"/>
          <w:shd w:val="clear" w:color="auto" w:fill="FFFFFF"/>
        </w:rPr>
      </w:pPr>
    </w:p>
    <w:p w14:paraId="5AB234C2" w14:textId="77777777" w:rsidR="0097754E" w:rsidRPr="004D2FCE" w:rsidRDefault="0097754E" w:rsidP="00052142">
      <w:pPr>
        <w:contextualSpacing/>
        <w:jc w:val="both"/>
        <w:rPr>
          <w:rFonts w:ascii="Times New Roman" w:eastAsia="Times New Roman" w:hAnsi="Times New Roman" w:cs="Times New Roman"/>
          <w:sz w:val="24"/>
          <w:szCs w:val="24"/>
          <w:bdr w:val="none" w:sz="0" w:space="0" w:color="auto" w:frame="1"/>
          <w:shd w:val="clear" w:color="auto" w:fill="FFFFFF"/>
        </w:rPr>
      </w:pPr>
    </w:p>
    <w:p w14:paraId="49508F8E" w14:textId="77777777" w:rsidR="0097754E" w:rsidRPr="004D2FCE" w:rsidRDefault="0097754E" w:rsidP="00052142">
      <w:pPr>
        <w:contextualSpacing/>
        <w:jc w:val="both"/>
        <w:rPr>
          <w:rFonts w:ascii="Times New Roman" w:eastAsia="Times New Roman" w:hAnsi="Times New Roman" w:cs="Times New Roman"/>
          <w:sz w:val="24"/>
          <w:szCs w:val="24"/>
          <w:bdr w:val="none" w:sz="0" w:space="0" w:color="auto" w:frame="1"/>
          <w:shd w:val="clear" w:color="auto" w:fill="FFFFFF"/>
        </w:rPr>
      </w:pPr>
    </w:p>
    <w:p w14:paraId="7F4D3501" w14:textId="77777777" w:rsidR="004D2FCE" w:rsidRDefault="004D2FCE" w:rsidP="00052142">
      <w:pPr>
        <w:contextualSpacing/>
        <w:jc w:val="both"/>
        <w:rPr>
          <w:rFonts w:ascii="Times New Roman" w:eastAsia="Times New Roman" w:hAnsi="Times New Roman" w:cs="Times New Roman"/>
          <w:sz w:val="24"/>
          <w:szCs w:val="24"/>
          <w:bdr w:val="none" w:sz="0" w:space="0" w:color="auto" w:frame="1"/>
          <w:shd w:val="clear" w:color="auto" w:fill="FFFFFF"/>
        </w:rPr>
      </w:pPr>
    </w:p>
    <w:p w14:paraId="614FD737" w14:textId="77777777" w:rsidR="004D2FCE" w:rsidRDefault="004D2FCE" w:rsidP="00052142">
      <w:pPr>
        <w:contextualSpacing/>
        <w:jc w:val="both"/>
        <w:rPr>
          <w:rFonts w:ascii="Times New Roman" w:eastAsia="Times New Roman" w:hAnsi="Times New Roman" w:cs="Times New Roman"/>
          <w:sz w:val="24"/>
          <w:szCs w:val="24"/>
          <w:bdr w:val="none" w:sz="0" w:space="0" w:color="auto" w:frame="1"/>
          <w:shd w:val="clear" w:color="auto" w:fill="FFFFFF"/>
        </w:rPr>
      </w:pPr>
    </w:p>
    <w:p w14:paraId="5ABAD9A2" w14:textId="77777777" w:rsidR="004D2FCE" w:rsidRDefault="004D2FCE" w:rsidP="00052142">
      <w:pPr>
        <w:contextualSpacing/>
        <w:jc w:val="both"/>
        <w:rPr>
          <w:rFonts w:ascii="Times New Roman" w:eastAsia="Times New Roman" w:hAnsi="Times New Roman" w:cs="Times New Roman"/>
          <w:sz w:val="24"/>
          <w:szCs w:val="24"/>
          <w:bdr w:val="none" w:sz="0" w:space="0" w:color="auto" w:frame="1"/>
          <w:shd w:val="clear" w:color="auto" w:fill="FFFFFF"/>
        </w:rPr>
      </w:pPr>
    </w:p>
    <w:p w14:paraId="0EC1183A" w14:textId="77777777" w:rsidR="004D2FCE" w:rsidRDefault="004D2FCE" w:rsidP="00052142">
      <w:pPr>
        <w:contextualSpacing/>
        <w:jc w:val="both"/>
        <w:rPr>
          <w:rFonts w:ascii="Times New Roman" w:eastAsia="Times New Roman" w:hAnsi="Times New Roman" w:cs="Times New Roman"/>
          <w:sz w:val="24"/>
          <w:szCs w:val="24"/>
          <w:bdr w:val="none" w:sz="0" w:space="0" w:color="auto" w:frame="1"/>
          <w:shd w:val="clear" w:color="auto" w:fill="FFFFFF"/>
        </w:rPr>
      </w:pPr>
    </w:p>
    <w:p w14:paraId="0248E343" w14:textId="548BB58F" w:rsidR="00052142" w:rsidRPr="004D2FCE" w:rsidRDefault="0097754E" w:rsidP="004D2FCE">
      <w:pPr>
        <w:ind w:firstLine="360"/>
        <w:contextualSpacing/>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lastRenderedPageBreak/>
        <w:t>Modificările aduse</w:t>
      </w:r>
      <w:r w:rsidR="00052142" w:rsidRPr="004D2FCE">
        <w:rPr>
          <w:rFonts w:ascii="Times New Roman" w:eastAsia="Times New Roman" w:hAnsi="Times New Roman" w:cs="Times New Roman"/>
          <w:sz w:val="24"/>
          <w:szCs w:val="24"/>
          <w:bdr w:val="none" w:sz="0" w:space="0" w:color="auto" w:frame="1"/>
          <w:shd w:val="clear" w:color="auto" w:fill="FFFFFF"/>
        </w:rPr>
        <w:t xml:space="preserve"> protocol</w:t>
      </w:r>
      <w:r w:rsidRPr="004D2FCE">
        <w:rPr>
          <w:rFonts w:ascii="Times New Roman" w:eastAsia="Times New Roman" w:hAnsi="Times New Roman" w:cs="Times New Roman"/>
          <w:sz w:val="24"/>
          <w:szCs w:val="24"/>
          <w:bdr w:val="none" w:sz="0" w:space="0" w:color="auto" w:frame="1"/>
          <w:shd w:val="clear" w:color="auto" w:fill="FFFFFF"/>
        </w:rPr>
        <w:t>ului</w:t>
      </w:r>
      <w:r w:rsidR="00052142" w:rsidRPr="004D2FCE">
        <w:rPr>
          <w:rFonts w:ascii="Times New Roman" w:eastAsia="Times New Roman" w:hAnsi="Times New Roman" w:cs="Times New Roman"/>
          <w:sz w:val="24"/>
          <w:szCs w:val="24"/>
          <w:bdr w:val="none" w:sz="0" w:space="0" w:color="auto" w:frame="1"/>
          <w:shd w:val="clear" w:color="auto" w:fill="FFFFFF"/>
        </w:rPr>
        <w:t xml:space="preserve"> se bazează pe următoarele referințe bibliografice</w:t>
      </w:r>
      <w:r w:rsidR="004D2FCE">
        <w:rPr>
          <w:rFonts w:ascii="Times New Roman" w:eastAsia="Times New Roman" w:hAnsi="Times New Roman" w:cs="Times New Roman"/>
          <w:sz w:val="24"/>
          <w:szCs w:val="24"/>
          <w:bdr w:val="none" w:sz="0" w:space="0" w:color="auto" w:frame="1"/>
          <w:shd w:val="clear" w:color="auto" w:fill="FFFFFF"/>
        </w:rPr>
        <w:t>:</w:t>
      </w:r>
    </w:p>
    <w:p w14:paraId="0BAFBCFA" w14:textId="5D49BD5F" w:rsidR="00BD5A4E" w:rsidRPr="004D2FCE" w:rsidRDefault="00403602" w:rsidP="0097754E">
      <w:pPr>
        <w:pStyle w:val="ListParagraph"/>
        <w:numPr>
          <w:ilvl w:val="0"/>
          <w:numId w:val="27"/>
        </w:numPr>
        <w:jc w:val="both"/>
        <w:rPr>
          <w:rFonts w:ascii="Times New Roman" w:eastAsia="Times New Roman" w:hAnsi="Times New Roman" w:cs="Times New Roman"/>
          <w:sz w:val="24"/>
          <w:szCs w:val="24"/>
          <w:bdr w:val="none" w:sz="0" w:space="0" w:color="auto" w:frame="1"/>
          <w:shd w:val="clear" w:color="auto" w:fill="FFFFFF"/>
        </w:rPr>
      </w:pPr>
      <w:hyperlink r:id="rId8" w:history="1">
        <w:r w:rsidR="00BD5A4E" w:rsidRPr="004D2FCE">
          <w:rPr>
            <w:rStyle w:val="Hyperlink"/>
            <w:rFonts w:ascii="Times New Roman" w:eastAsia="Times New Roman" w:hAnsi="Times New Roman" w:cs="Times New Roman"/>
            <w:color w:val="auto"/>
            <w:sz w:val="24"/>
            <w:szCs w:val="24"/>
            <w:bdr w:val="none" w:sz="0" w:space="0" w:color="auto" w:frame="1"/>
            <w:shd w:val="clear" w:color="auto" w:fill="FFFFFF"/>
          </w:rPr>
          <w:t>https://www.ema.europa.eu/en/medicines/human/EPAR/veklury</w:t>
        </w:r>
      </w:hyperlink>
      <w:r w:rsidR="00BD5A4E" w:rsidRPr="004D2FCE">
        <w:rPr>
          <w:rFonts w:ascii="Times New Roman" w:eastAsia="Times New Roman" w:hAnsi="Times New Roman" w:cs="Times New Roman"/>
          <w:sz w:val="24"/>
          <w:szCs w:val="24"/>
          <w:bdr w:val="none" w:sz="0" w:space="0" w:color="auto" w:frame="1"/>
          <w:shd w:val="clear" w:color="auto" w:fill="FFFFFF"/>
        </w:rPr>
        <w:t xml:space="preserve"> </w:t>
      </w:r>
      <w:r w:rsidR="008F35FA" w:rsidRPr="004D2FCE">
        <w:rPr>
          <w:rFonts w:ascii="Times New Roman" w:eastAsia="Times New Roman" w:hAnsi="Times New Roman" w:cs="Times New Roman"/>
          <w:i/>
          <w:sz w:val="24"/>
          <w:szCs w:val="24"/>
          <w:bdr w:val="none" w:sz="0" w:space="0" w:color="auto" w:frame="1"/>
          <w:shd w:val="clear" w:color="auto" w:fill="FFFFFF"/>
        </w:rPr>
        <w:t>(</w:t>
      </w:r>
      <w:r w:rsidR="00BD5A4E" w:rsidRPr="004D2FCE">
        <w:rPr>
          <w:rFonts w:ascii="Times New Roman" w:eastAsia="Times New Roman" w:hAnsi="Times New Roman" w:cs="Times New Roman"/>
          <w:i/>
          <w:sz w:val="24"/>
          <w:szCs w:val="24"/>
          <w:bdr w:val="none" w:sz="0" w:space="0" w:color="auto" w:frame="1"/>
          <w:shd w:val="clear" w:color="auto" w:fill="FFFFFF"/>
        </w:rPr>
        <w:t>accesat 18/05/2023</w:t>
      </w:r>
      <w:r w:rsidR="00BD5A4E" w:rsidRPr="004D2FCE">
        <w:rPr>
          <w:rFonts w:ascii="Times New Roman" w:eastAsia="Times New Roman" w:hAnsi="Times New Roman" w:cs="Times New Roman"/>
          <w:sz w:val="24"/>
          <w:szCs w:val="24"/>
          <w:bdr w:val="none" w:sz="0" w:space="0" w:color="auto" w:frame="1"/>
          <w:shd w:val="clear" w:color="auto" w:fill="FFFFFF"/>
        </w:rPr>
        <w:t>)</w:t>
      </w:r>
    </w:p>
    <w:p w14:paraId="20814F48" w14:textId="49D9B142" w:rsidR="00052142" w:rsidRPr="004D2FCE" w:rsidRDefault="00403602" w:rsidP="0097754E">
      <w:pPr>
        <w:pStyle w:val="ListParagraph"/>
        <w:numPr>
          <w:ilvl w:val="0"/>
          <w:numId w:val="27"/>
        </w:numPr>
        <w:jc w:val="both"/>
        <w:rPr>
          <w:rFonts w:ascii="Times New Roman" w:eastAsia="Times New Roman" w:hAnsi="Times New Roman" w:cs="Times New Roman"/>
          <w:sz w:val="24"/>
          <w:szCs w:val="24"/>
          <w:bdr w:val="none" w:sz="0" w:space="0" w:color="auto" w:frame="1"/>
          <w:shd w:val="clear" w:color="auto" w:fill="FFFFFF"/>
        </w:rPr>
      </w:pPr>
      <w:hyperlink r:id="rId9" w:history="1">
        <w:r w:rsidR="00BD5A4E" w:rsidRPr="004D2FCE">
          <w:rPr>
            <w:rStyle w:val="Hyperlink"/>
            <w:rFonts w:ascii="Times New Roman" w:eastAsia="Times New Roman" w:hAnsi="Times New Roman" w:cs="Times New Roman"/>
            <w:color w:val="auto"/>
            <w:sz w:val="24"/>
            <w:szCs w:val="24"/>
            <w:bdr w:val="none" w:sz="0" w:space="0" w:color="auto" w:frame="1"/>
            <w:shd w:val="clear" w:color="auto" w:fill="FFFFFF"/>
          </w:rPr>
          <w:t>https://www.ema.europa.eu/en/medicines/human/EPAR/paxlovid</w:t>
        </w:r>
      </w:hyperlink>
      <w:r w:rsidR="00BD5A4E" w:rsidRPr="004D2FCE">
        <w:rPr>
          <w:rFonts w:ascii="Times New Roman" w:eastAsia="Times New Roman" w:hAnsi="Times New Roman" w:cs="Times New Roman"/>
          <w:sz w:val="24"/>
          <w:szCs w:val="24"/>
          <w:bdr w:val="none" w:sz="0" w:space="0" w:color="auto" w:frame="1"/>
          <w:shd w:val="clear" w:color="auto" w:fill="FFFFFF"/>
        </w:rPr>
        <w:t xml:space="preserve"> </w:t>
      </w:r>
      <w:bookmarkStart w:id="2" w:name="_Hlk135591898"/>
      <w:r w:rsidR="00BD5A4E" w:rsidRPr="004D2FCE">
        <w:rPr>
          <w:rFonts w:ascii="Times New Roman" w:eastAsia="Times New Roman" w:hAnsi="Times New Roman" w:cs="Times New Roman"/>
          <w:i/>
          <w:sz w:val="24"/>
          <w:szCs w:val="24"/>
          <w:bdr w:val="none" w:sz="0" w:space="0" w:color="auto" w:frame="1"/>
          <w:shd w:val="clear" w:color="auto" w:fill="FFFFFF"/>
        </w:rPr>
        <w:t>(accesat 18/05/2023)</w:t>
      </w:r>
      <w:bookmarkEnd w:id="2"/>
    </w:p>
    <w:p w14:paraId="08466CD1" w14:textId="224D392C" w:rsidR="00BD5A4E" w:rsidRPr="004D2FCE" w:rsidRDefault="00403602" w:rsidP="0097754E">
      <w:pPr>
        <w:pStyle w:val="ListParagraph"/>
        <w:numPr>
          <w:ilvl w:val="0"/>
          <w:numId w:val="27"/>
        </w:numPr>
        <w:jc w:val="both"/>
        <w:rPr>
          <w:rFonts w:ascii="Times New Roman" w:eastAsia="Times New Roman" w:hAnsi="Times New Roman" w:cs="Times New Roman"/>
          <w:sz w:val="24"/>
          <w:szCs w:val="24"/>
          <w:bdr w:val="none" w:sz="0" w:space="0" w:color="auto" w:frame="1"/>
          <w:shd w:val="clear" w:color="auto" w:fill="FFFFFF"/>
        </w:rPr>
      </w:pPr>
      <w:hyperlink r:id="rId10" w:history="1">
        <w:r w:rsidR="00BD5A4E" w:rsidRPr="004D2FCE">
          <w:rPr>
            <w:rStyle w:val="Hyperlink"/>
            <w:rFonts w:ascii="Times New Roman" w:eastAsia="Times New Roman" w:hAnsi="Times New Roman" w:cs="Times New Roman"/>
            <w:color w:val="auto"/>
            <w:sz w:val="24"/>
            <w:szCs w:val="24"/>
            <w:bdr w:val="none" w:sz="0" w:space="0" w:color="auto" w:frame="1"/>
            <w:shd w:val="clear" w:color="auto" w:fill="FFFFFF"/>
          </w:rPr>
          <w:t>https://www.ema.europa.eu/en/medicines/human/summaries-opinion/lagevrio</w:t>
        </w:r>
      </w:hyperlink>
      <w:r w:rsidR="00BD5A4E" w:rsidRPr="004D2FCE">
        <w:rPr>
          <w:rFonts w:ascii="Times New Roman" w:eastAsia="Times New Roman" w:hAnsi="Times New Roman" w:cs="Times New Roman"/>
          <w:sz w:val="24"/>
          <w:szCs w:val="24"/>
          <w:bdr w:val="none" w:sz="0" w:space="0" w:color="auto" w:frame="1"/>
          <w:shd w:val="clear" w:color="auto" w:fill="FFFFFF"/>
        </w:rPr>
        <w:t xml:space="preserve"> </w:t>
      </w:r>
      <w:r w:rsidR="00BD5A4E" w:rsidRPr="004D2FCE">
        <w:rPr>
          <w:rFonts w:ascii="Times New Roman" w:eastAsia="Times New Roman" w:hAnsi="Times New Roman" w:cs="Times New Roman"/>
          <w:i/>
          <w:sz w:val="24"/>
          <w:szCs w:val="24"/>
          <w:bdr w:val="none" w:sz="0" w:space="0" w:color="auto" w:frame="1"/>
          <w:shd w:val="clear" w:color="auto" w:fill="FFFFFF"/>
        </w:rPr>
        <w:t>(accesat 18/05/2023)</w:t>
      </w:r>
    </w:p>
    <w:p w14:paraId="07971824" w14:textId="3E979A19" w:rsidR="00BD5A4E" w:rsidRPr="004D2FCE" w:rsidRDefault="003406AE" w:rsidP="0097754E">
      <w:pPr>
        <w:pStyle w:val="ListParagraph"/>
        <w:numPr>
          <w:ilvl w:val="0"/>
          <w:numId w:val="27"/>
        </w:numPr>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National Institute for Health and Care Excellence (NICE): </w:t>
      </w:r>
      <w:r w:rsidR="00BD5A4E" w:rsidRPr="004D2FCE">
        <w:rPr>
          <w:rFonts w:ascii="Times New Roman" w:eastAsia="Times New Roman" w:hAnsi="Times New Roman" w:cs="Times New Roman"/>
          <w:sz w:val="24"/>
          <w:szCs w:val="24"/>
          <w:bdr w:val="none" w:sz="0" w:space="0" w:color="auto" w:frame="1"/>
          <w:shd w:val="clear" w:color="auto" w:fill="FFFFFF"/>
        </w:rPr>
        <w:t>Casirivimab plus imdevimab, nirmatrelvir plus ritonavir, sotrovimab and tocilizumab for treating COVID-19</w:t>
      </w:r>
      <w:r w:rsidRPr="004D2FCE">
        <w:rPr>
          <w:rFonts w:ascii="Times New Roman" w:eastAsia="Times New Roman" w:hAnsi="Times New Roman" w:cs="Times New Roman"/>
          <w:sz w:val="24"/>
          <w:szCs w:val="24"/>
          <w:bdr w:val="none" w:sz="0" w:space="0" w:color="auto" w:frame="1"/>
          <w:shd w:val="clear" w:color="auto" w:fill="FFFFFF"/>
        </w:rPr>
        <w:t>.</w:t>
      </w:r>
      <w:r w:rsidR="00BD5A4E" w:rsidRPr="004D2FCE">
        <w:rPr>
          <w:rFonts w:ascii="Times New Roman" w:eastAsia="Times New Roman" w:hAnsi="Times New Roman" w:cs="Times New Roman"/>
          <w:sz w:val="24"/>
          <w:szCs w:val="24"/>
          <w:bdr w:val="none" w:sz="0" w:space="0" w:color="auto" w:frame="1"/>
          <w:shd w:val="clear" w:color="auto" w:fill="FFFFFF"/>
        </w:rPr>
        <w:t>Technology appraisal guidance [TA878]</w:t>
      </w:r>
      <w:r w:rsidRPr="004D2FCE">
        <w:rPr>
          <w:rFonts w:ascii="Times New Roman" w:eastAsia="Times New Roman" w:hAnsi="Times New Roman" w:cs="Times New Roman"/>
          <w:sz w:val="24"/>
          <w:szCs w:val="24"/>
          <w:bdr w:val="none" w:sz="0" w:space="0" w:color="auto" w:frame="1"/>
          <w:shd w:val="clear" w:color="auto" w:fill="FFFFFF"/>
        </w:rPr>
        <w:t xml:space="preserve"> </w:t>
      </w:r>
      <w:r w:rsidR="00BD5A4E" w:rsidRPr="004D2FCE">
        <w:rPr>
          <w:rFonts w:ascii="Times New Roman" w:eastAsia="Times New Roman" w:hAnsi="Times New Roman" w:cs="Times New Roman"/>
          <w:i/>
          <w:sz w:val="24"/>
          <w:szCs w:val="24"/>
          <w:bdr w:val="none" w:sz="0" w:space="0" w:color="auto" w:frame="1"/>
          <w:shd w:val="clear" w:color="auto" w:fill="FFFFFF"/>
        </w:rPr>
        <w:t>Published: 29 March 2023 Last updated: 05 April 2023</w:t>
      </w:r>
      <w:r w:rsidRPr="004D2FCE">
        <w:rPr>
          <w:rFonts w:ascii="Times New Roman" w:eastAsia="Times New Roman" w:hAnsi="Times New Roman" w:cs="Times New Roman"/>
          <w:i/>
          <w:sz w:val="24"/>
          <w:szCs w:val="24"/>
          <w:bdr w:val="none" w:sz="0" w:space="0" w:color="auto" w:frame="1"/>
          <w:shd w:val="clear" w:color="auto" w:fill="FFFFFF"/>
        </w:rPr>
        <w:t>.</w:t>
      </w:r>
      <w:r w:rsidRPr="004D2FCE">
        <w:rPr>
          <w:rFonts w:ascii="Times New Roman" w:eastAsia="Times New Roman" w:hAnsi="Times New Roman" w:cs="Times New Roman"/>
          <w:sz w:val="24"/>
          <w:szCs w:val="24"/>
          <w:bdr w:val="none" w:sz="0" w:space="0" w:color="auto" w:frame="1"/>
          <w:shd w:val="clear" w:color="auto" w:fill="FFFFFF"/>
        </w:rPr>
        <w:t xml:space="preserve"> </w:t>
      </w:r>
      <w:hyperlink r:id="rId11" w:history="1">
        <w:r w:rsidRPr="004D2FCE">
          <w:rPr>
            <w:rStyle w:val="Hyperlink"/>
            <w:rFonts w:ascii="Times New Roman" w:eastAsia="Times New Roman" w:hAnsi="Times New Roman" w:cs="Times New Roman"/>
            <w:color w:val="auto"/>
            <w:sz w:val="24"/>
            <w:szCs w:val="24"/>
            <w:bdr w:val="none" w:sz="0" w:space="0" w:color="auto" w:frame="1"/>
            <w:shd w:val="clear" w:color="auto" w:fill="FFFFFF"/>
          </w:rPr>
          <w:t>https://www.nice.org.uk/guidance/TA878/chapter/1-Recommendations</w:t>
        </w:r>
      </w:hyperlink>
    </w:p>
    <w:p w14:paraId="58FF7677" w14:textId="207D2C37" w:rsidR="003406AE" w:rsidRPr="004D2FCE" w:rsidRDefault="003406AE" w:rsidP="0097754E">
      <w:pPr>
        <w:pStyle w:val="ListParagraph"/>
        <w:numPr>
          <w:ilvl w:val="0"/>
          <w:numId w:val="27"/>
        </w:numPr>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WHO: Clinical management of COVID-19: </w:t>
      </w:r>
      <w:r w:rsidRPr="004D2FCE">
        <w:rPr>
          <w:rFonts w:ascii="Times New Roman" w:eastAsia="Times New Roman" w:hAnsi="Times New Roman" w:cs="Times New Roman"/>
          <w:i/>
          <w:sz w:val="24"/>
          <w:szCs w:val="24"/>
          <w:bdr w:val="none" w:sz="0" w:space="0" w:color="auto" w:frame="1"/>
          <w:shd w:val="clear" w:color="auto" w:fill="FFFFFF"/>
        </w:rPr>
        <w:t>Living guideline,</w:t>
      </w:r>
      <w:r w:rsidRPr="004D2FCE">
        <w:rPr>
          <w:rFonts w:ascii="Times New Roman" w:eastAsia="Times New Roman" w:hAnsi="Times New Roman" w:cs="Times New Roman"/>
          <w:sz w:val="24"/>
          <w:szCs w:val="24"/>
          <w:bdr w:val="none" w:sz="0" w:space="0" w:color="auto" w:frame="1"/>
          <w:shd w:val="clear" w:color="auto" w:fill="FFFFFF"/>
        </w:rPr>
        <w:t xml:space="preserve"> </w:t>
      </w:r>
      <w:r w:rsidRPr="004D2FCE">
        <w:rPr>
          <w:rFonts w:ascii="Times New Roman" w:eastAsia="Times New Roman" w:hAnsi="Times New Roman" w:cs="Times New Roman"/>
          <w:i/>
          <w:sz w:val="24"/>
          <w:szCs w:val="24"/>
          <w:bdr w:val="none" w:sz="0" w:space="0" w:color="auto" w:frame="1"/>
          <w:shd w:val="clear" w:color="auto" w:fill="FFFFFF"/>
        </w:rPr>
        <w:t>13 January 2023</w:t>
      </w:r>
      <w:r w:rsidRPr="004D2FCE">
        <w:rPr>
          <w:rFonts w:ascii="Times New Roman" w:eastAsia="Times New Roman" w:hAnsi="Times New Roman" w:cs="Times New Roman"/>
          <w:sz w:val="24"/>
          <w:szCs w:val="24"/>
          <w:bdr w:val="none" w:sz="0" w:space="0" w:color="auto" w:frame="1"/>
          <w:shd w:val="clear" w:color="auto" w:fill="FFFFFF"/>
        </w:rPr>
        <w:t xml:space="preserve"> </w:t>
      </w:r>
      <w:hyperlink r:id="rId12" w:history="1">
        <w:r w:rsidRPr="004D2FCE">
          <w:rPr>
            <w:rStyle w:val="Hyperlink"/>
            <w:rFonts w:ascii="Times New Roman" w:eastAsia="Times New Roman" w:hAnsi="Times New Roman" w:cs="Times New Roman"/>
            <w:color w:val="auto"/>
            <w:sz w:val="24"/>
            <w:szCs w:val="24"/>
            <w:bdr w:val="none" w:sz="0" w:space="0" w:color="auto" w:frame="1"/>
            <w:shd w:val="clear" w:color="auto" w:fill="FFFFFF"/>
          </w:rPr>
          <w:t>https://www.who.int/publications/i/item/WHO-2019-nCoV-clinical-2023.1</w:t>
        </w:r>
      </w:hyperlink>
    </w:p>
    <w:p w14:paraId="0800FA25" w14:textId="70F2CC03" w:rsidR="003406AE" w:rsidRPr="004D2FCE" w:rsidRDefault="003406AE" w:rsidP="0097754E">
      <w:pPr>
        <w:pStyle w:val="ListParagraph"/>
        <w:numPr>
          <w:ilvl w:val="0"/>
          <w:numId w:val="27"/>
        </w:numPr>
        <w:jc w:val="both"/>
        <w:rPr>
          <w:rFonts w:ascii="Times New Roman" w:eastAsia="Times New Roman" w:hAnsi="Times New Roman" w:cs="Times New Roman"/>
          <w:i/>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IDSA Guidelines on the Treatment and Management of Patients with COVID-19</w:t>
      </w:r>
      <w:r w:rsidR="008F35FA" w:rsidRPr="004D2FCE">
        <w:rPr>
          <w:rFonts w:ascii="Times New Roman" w:eastAsia="Times New Roman" w:hAnsi="Times New Roman" w:cs="Times New Roman"/>
          <w:sz w:val="24"/>
          <w:szCs w:val="24"/>
          <w:bdr w:val="none" w:sz="0" w:space="0" w:color="auto" w:frame="1"/>
          <w:shd w:val="clear" w:color="auto" w:fill="FFFFFF"/>
        </w:rPr>
        <w:t xml:space="preserve">. </w:t>
      </w:r>
      <w:r w:rsidR="008F35FA" w:rsidRPr="004D2FCE">
        <w:rPr>
          <w:rFonts w:ascii="Times New Roman" w:eastAsia="Times New Roman" w:hAnsi="Times New Roman" w:cs="Times New Roman"/>
          <w:i/>
          <w:sz w:val="24"/>
          <w:szCs w:val="24"/>
          <w:bdr w:val="none" w:sz="0" w:space="0" w:color="auto" w:frame="1"/>
          <w:shd w:val="clear" w:color="auto" w:fill="FFFFFF"/>
        </w:rPr>
        <w:t>P</w:t>
      </w:r>
      <w:r w:rsidRPr="004D2FCE">
        <w:rPr>
          <w:rFonts w:ascii="Times New Roman" w:eastAsia="Times New Roman" w:hAnsi="Times New Roman" w:cs="Times New Roman"/>
          <w:i/>
          <w:sz w:val="24"/>
          <w:szCs w:val="24"/>
          <w:bdr w:val="none" w:sz="0" w:space="0" w:color="auto" w:frame="1"/>
          <w:shd w:val="clear" w:color="auto" w:fill="FFFFFF"/>
        </w:rPr>
        <w:t>ublished by IDSA, 5/27/2021. Last updated, 5/15/2023</w:t>
      </w:r>
    </w:p>
    <w:p w14:paraId="6CFC4694" w14:textId="77777777" w:rsidR="0097754E" w:rsidRPr="004D2FCE" w:rsidRDefault="00AD0989" w:rsidP="0097754E">
      <w:pPr>
        <w:pStyle w:val="ListParagraph"/>
        <w:numPr>
          <w:ilvl w:val="0"/>
          <w:numId w:val="27"/>
        </w:numPr>
        <w:jc w:val="both"/>
        <w:rPr>
          <w:rFonts w:ascii="Times New Roman" w:eastAsia="Times New Roman" w:hAnsi="Times New Roman" w:cs="Times New Roman"/>
          <w:sz w:val="24"/>
          <w:szCs w:val="24"/>
          <w:bdr w:val="none" w:sz="0" w:space="0" w:color="auto" w:frame="1"/>
          <w:shd w:val="clear" w:color="auto" w:fill="FFFFFF"/>
        </w:rPr>
      </w:pPr>
      <w:r w:rsidRPr="004D2FCE">
        <w:rPr>
          <w:rFonts w:ascii="Times New Roman" w:eastAsia="Times New Roman" w:hAnsi="Times New Roman" w:cs="Times New Roman"/>
          <w:sz w:val="24"/>
          <w:szCs w:val="24"/>
          <w:bdr w:val="none" w:sz="0" w:space="0" w:color="auto" w:frame="1"/>
          <w:shd w:val="clear" w:color="auto" w:fill="FFFFFF"/>
        </w:rPr>
        <w:t xml:space="preserve">National Institute of Health (NIH): COVID-19 Treatment Guidelines: Clinical Management of Adults Summary. </w:t>
      </w:r>
      <w:r w:rsidRPr="004D2FCE">
        <w:rPr>
          <w:rFonts w:ascii="Times New Roman" w:eastAsia="Times New Roman" w:hAnsi="Times New Roman" w:cs="Times New Roman"/>
          <w:i/>
          <w:sz w:val="24"/>
          <w:szCs w:val="24"/>
          <w:bdr w:val="none" w:sz="0" w:space="0" w:color="auto" w:frame="1"/>
          <w:shd w:val="clear" w:color="auto" w:fill="FFFFFF"/>
        </w:rPr>
        <w:t>Last Updated: April 20, 2023</w:t>
      </w:r>
    </w:p>
    <w:p w14:paraId="4B1E92A4" w14:textId="77777777" w:rsidR="0097754E" w:rsidRPr="004D2FCE" w:rsidRDefault="00022853" w:rsidP="0097754E">
      <w:pPr>
        <w:pStyle w:val="ListParagraph"/>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4D2FCE">
        <w:rPr>
          <w:rFonts w:ascii="Times New Roman" w:eastAsia="Times New Roman" w:hAnsi="Times New Roman" w:cs="Times New Roman"/>
          <w:sz w:val="24"/>
          <w:szCs w:val="24"/>
          <w:bdr w:val="none" w:sz="0" w:space="0" w:color="auto" w:frame="1"/>
          <w:shd w:val="clear" w:color="auto" w:fill="FFFFFF"/>
        </w:rPr>
        <w:t xml:space="preserve">James H. McMahon,Jillian S.Y. Lau Anna Coldham Janine Roney Michelle Hagenauer Sally Price et al. Favipiravir in early symptomatic COVID-19, a randomised placebo-controlled trial. E-Clinical Medicine. </w:t>
      </w:r>
      <w:hyperlink r:id="rId13" w:history="1">
        <w:r w:rsidRPr="004D2FCE">
          <w:rPr>
            <w:rFonts w:ascii="Times New Roman" w:eastAsia="Times New Roman" w:hAnsi="Times New Roman" w:cs="Times New Roman"/>
            <w:sz w:val="24"/>
            <w:szCs w:val="24"/>
            <w:bdr w:val="none" w:sz="0" w:space="0" w:color="auto" w:frame="1"/>
            <w:shd w:val="clear" w:color="auto" w:fill="FFFFFF"/>
          </w:rPr>
          <w:t> Volume 54</w:t>
        </w:r>
      </w:hyperlink>
      <w:r w:rsidRPr="004D2FCE">
        <w:rPr>
          <w:rFonts w:ascii="Times New Roman" w:eastAsia="Times New Roman" w:hAnsi="Times New Roman" w:cs="Times New Roman"/>
          <w:sz w:val="24"/>
          <w:szCs w:val="24"/>
          <w:bdr w:val="none" w:sz="0" w:space="0" w:color="auto" w:frame="1"/>
          <w:shd w:val="clear" w:color="auto" w:fill="FFFFFF"/>
        </w:rPr>
        <w:t>, 101703, December 2022;</w:t>
      </w:r>
      <w:r w:rsidRPr="004D2FCE">
        <w:rPr>
          <w:rFonts w:ascii="Times New Roman" w:eastAsia="Calibri" w:hAnsi="Times New Roman" w:cs="Times New Roman"/>
          <w:sz w:val="24"/>
          <w:szCs w:val="24"/>
        </w:rPr>
        <w:t xml:space="preserve"> </w:t>
      </w:r>
      <w:r w:rsidRPr="004D2FCE">
        <w:rPr>
          <w:rFonts w:ascii="Times New Roman" w:eastAsia="Times New Roman" w:hAnsi="Times New Roman" w:cs="Times New Roman"/>
          <w:sz w:val="24"/>
          <w:szCs w:val="24"/>
          <w:bdr w:val="none" w:sz="0" w:space="0" w:color="auto" w:frame="1"/>
          <w:shd w:val="clear" w:color="auto" w:fill="FFFFFF"/>
        </w:rPr>
        <w:t>DOI:https://doi.org/10.1016/j.eclinm.2022.101703</w:t>
      </w:r>
    </w:p>
    <w:p w14:paraId="274A13BA" w14:textId="455E3B87" w:rsidR="003F7471" w:rsidRPr="004D2FCE" w:rsidRDefault="00022853" w:rsidP="0097754E">
      <w:pPr>
        <w:pStyle w:val="ListParagraph"/>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4D2FCE">
        <w:rPr>
          <w:rFonts w:ascii="Times New Roman" w:eastAsia="Times New Roman" w:hAnsi="Times New Roman" w:cs="Times New Roman"/>
          <w:sz w:val="24"/>
          <w:szCs w:val="24"/>
          <w:bdr w:val="none" w:sz="0" w:space="0" w:color="auto" w:frame="1"/>
          <w:shd w:val="clear" w:color="auto" w:fill="FFFFFF"/>
        </w:rPr>
        <w:t>Pallav L Shah, Christopher M Orton, Beatriz Grinsztejn, Gavin C Donaldson, Brenda Crabtree Ramírez, James Tonkin, et al. Favipiravir in patients hospitalised with COVID-19 (PIONEER trial): a multicentre, open-label, phase 3, randomised controlled trial of early intervention versus standard care. The Lancet Respiratory medicine; December 14, 2022DOI:</w:t>
      </w:r>
      <w:hyperlink r:id="rId14" w:history="1">
        <w:r w:rsidRPr="004D2FCE">
          <w:rPr>
            <w:rFonts w:ascii="Times New Roman" w:eastAsia="Times New Roman" w:hAnsi="Times New Roman" w:cs="Times New Roman"/>
            <w:sz w:val="24"/>
            <w:szCs w:val="24"/>
            <w:bdr w:val="none" w:sz="0" w:space="0" w:color="auto" w:frame="1"/>
            <w:shd w:val="clear" w:color="auto" w:fill="FFFFFF"/>
          </w:rPr>
          <w:t>https://doi.org/10.1016/S2213-2600(22)00412-X</w:t>
        </w:r>
      </w:hyperlink>
    </w:p>
    <w:sectPr w:rsidR="003F7471" w:rsidRPr="004D2FCE" w:rsidSect="001F7E60">
      <w:footerReference w:type="default" r:id="rId15"/>
      <w:pgSz w:w="11906" w:h="16838" w:code="9"/>
      <w:pgMar w:top="426" w:right="656" w:bottom="567" w:left="900" w:header="72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2CD25" w16cex:dateUtc="2023-05-07T22:21:00Z"/>
  <w16cex:commentExtensible w16cex:durableId="2802CEB9" w16cex:dateUtc="2023-05-07T22: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4D74F" w14:textId="77777777" w:rsidR="00403602" w:rsidRDefault="00403602" w:rsidP="00F469C0">
      <w:pPr>
        <w:spacing w:after="0" w:line="240" w:lineRule="auto"/>
      </w:pPr>
      <w:r>
        <w:separator/>
      </w:r>
    </w:p>
  </w:endnote>
  <w:endnote w:type="continuationSeparator" w:id="0">
    <w:p w14:paraId="6FEE8EB1" w14:textId="77777777" w:rsidR="00403602" w:rsidRDefault="00403602" w:rsidP="00F4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BCB2" w14:textId="77777777" w:rsidR="00C47941" w:rsidRDefault="00C4794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60C67">
      <w:rPr>
        <w:caps/>
        <w:noProof/>
        <w:color w:val="4472C4" w:themeColor="accent1"/>
      </w:rPr>
      <w:t>14</w:t>
    </w:r>
    <w:r>
      <w:rPr>
        <w:caps/>
        <w:noProof/>
        <w:color w:val="4472C4" w:themeColor="accent1"/>
      </w:rPr>
      <w:fldChar w:fldCharType="end"/>
    </w:r>
  </w:p>
  <w:p w14:paraId="2826E977" w14:textId="77777777" w:rsidR="00C47941" w:rsidRDefault="00C47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19DB0" w14:textId="77777777" w:rsidR="00403602" w:rsidRDefault="00403602" w:rsidP="00F469C0">
      <w:pPr>
        <w:spacing w:after="0" w:line="240" w:lineRule="auto"/>
      </w:pPr>
      <w:r>
        <w:separator/>
      </w:r>
    </w:p>
  </w:footnote>
  <w:footnote w:type="continuationSeparator" w:id="0">
    <w:p w14:paraId="21A7B8DE" w14:textId="77777777" w:rsidR="00403602" w:rsidRDefault="00403602" w:rsidP="00F46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75A"/>
    <w:multiLevelType w:val="hybridMultilevel"/>
    <w:tmpl w:val="B93CB7A8"/>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38775FA"/>
    <w:multiLevelType w:val="hybridMultilevel"/>
    <w:tmpl w:val="97C85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61BE7"/>
    <w:multiLevelType w:val="hybridMultilevel"/>
    <w:tmpl w:val="28B0718E"/>
    <w:lvl w:ilvl="0" w:tplc="EB8E4988">
      <w:start w:val="1"/>
      <w:numFmt w:val="lowerLetter"/>
      <w:lvlText w:val="%1)"/>
      <w:lvlJc w:val="left"/>
      <w:pPr>
        <w:ind w:left="792"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B823736"/>
    <w:multiLevelType w:val="hybridMultilevel"/>
    <w:tmpl w:val="911A1338"/>
    <w:lvl w:ilvl="0" w:tplc="0E505F62">
      <w:start w:val="1"/>
      <w:numFmt w:val="low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0FAE3E37"/>
    <w:multiLevelType w:val="hybridMultilevel"/>
    <w:tmpl w:val="BD168C5E"/>
    <w:lvl w:ilvl="0" w:tplc="DF8C977A">
      <w:start w:val="175"/>
      <w:numFmt w:val="bullet"/>
      <w:lvlText w:val="-"/>
      <w:lvlJc w:val="left"/>
      <w:pPr>
        <w:ind w:left="720" w:hanging="360"/>
      </w:pPr>
      <w:rPr>
        <w:rFonts w:ascii="Calibri Light" w:eastAsia="Calibri Light"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6666E26"/>
    <w:multiLevelType w:val="hybridMultilevel"/>
    <w:tmpl w:val="0B866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5C3FBB"/>
    <w:multiLevelType w:val="hybridMultilevel"/>
    <w:tmpl w:val="04300686"/>
    <w:lvl w:ilvl="0" w:tplc="E9F61410">
      <w:start w:val="1"/>
      <w:numFmt w:val="bullet"/>
      <w:lvlText w:val=""/>
      <w:lvlJc w:val="left"/>
      <w:pPr>
        <w:ind w:left="792" w:hanging="360"/>
      </w:pPr>
      <w:rPr>
        <w:rFonts w:ascii="Symbol" w:hAnsi="Symbol" w:hint="default"/>
      </w:rPr>
    </w:lvl>
    <w:lvl w:ilvl="1" w:tplc="E9F61410">
      <w:start w:val="1"/>
      <w:numFmt w:val="bullet"/>
      <w:lvlText w:val=""/>
      <w:lvlJc w:val="left"/>
      <w:pPr>
        <w:ind w:left="1512" w:hanging="360"/>
      </w:pPr>
      <w:rPr>
        <w:rFonts w:ascii="Symbol" w:hAnsi="Symbol" w:hint="default"/>
      </w:rPr>
    </w:lvl>
    <w:lvl w:ilvl="2" w:tplc="5B80C608">
      <w:numFmt w:val="bullet"/>
      <w:lvlText w:val="–"/>
      <w:lvlJc w:val="left"/>
      <w:pPr>
        <w:ind w:left="2232" w:hanging="360"/>
      </w:pPr>
      <w:rPr>
        <w:rFonts w:ascii="Times New Roman" w:eastAsia="Times New Roman" w:hAnsi="Times New Roman" w:cs="Times New Roman" w:hint="default"/>
        <w:b/>
        <w:color w:val="00008B"/>
      </w:rPr>
    </w:lvl>
    <w:lvl w:ilvl="3" w:tplc="A3686AA8">
      <w:start w:val="5"/>
      <w:numFmt w:val="bullet"/>
      <w:lvlText w:val="-"/>
      <w:lvlJc w:val="left"/>
      <w:pPr>
        <w:ind w:left="2952" w:hanging="360"/>
      </w:pPr>
      <w:rPr>
        <w:rFonts w:ascii="Times New Roman" w:eastAsia="Times New Roman" w:hAnsi="Times New Roman" w:cs="Times New Roman"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35A5BE3"/>
    <w:multiLevelType w:val="hybridMultilevel"/>
    <w:tmpl w:val="B222714A"/>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9EE581F"/>
    <w:multiLevelType w:val="hybridMultilevel"/>
    <w:tmpl w:val="BF3836DE"/>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30503304"/>
    <w:multiLevelType w:val="hybridMultilevel"/>
    <w:tmpl w:val="AAA6492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35462"/>
    <w:multiLevelType w:val="hybridMultilevel"/>
    <w:tmpl w:val="60E24AC8"/>
    <w:lvl w:ilvl="0" w:tplc="F642D6BC">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36C327A1"/>
    <w:multiLevelType w:val="hybridMultilevel"/>
    <w:tmpl w:val="1788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E9F61410">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71A96"/>
    <w:multiLevelType w:val="hybridMultilevel"/>
    <w:tmpl w:val="29DC4948"/>
    <w:lvl w:ilvl="0" w:tplc="E9F61410">
      <w:start w:val="1"/>
      <w:numFmt w:val="bullet"/>
      <w:lvlText w:val=""/>
      <w:lvlJc w:val="left"/>
      <w:pPr>
        <w:ind w:left="792" w:hanging="360"/>
      </w:pPr>
      <w:rPr>
        <w:rFonts w:ascii="Symbol" w:hAnsi="Symbol" w:hint="default"/>
      </w:rPr>
    </w:lvl>
    <w:lvl w:ilvl="1" w:tplc="E9F61410">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A2D1077"/>
    <w:multiLevelType w:val="hybridMultilevel"/>
    <w:tmpl w:val="D2280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A482F"/>
    <w:multiLevelType w:val="hybridMultilevel"/>
    <w:tmpl w:val="DB76E9DC"/>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458372D6"/>
    <w:multiLevelType w:val="hybridMultilevel"/>
    <w:tmpl w:val="9516EE6E"/>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4BB8163F"/>
    <w:multiLevelType w:val="hybridMultilevel"/>
    <w:tmpl w:val="3C80821C"/>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52B82FF6"/>
    <w:multiLevelType w:val="hybridMultilevel"/>
    <w:tmpl w:val="52BEB6D4"/>
    <w:lvl w:ilvl="0" w:tplc="E9F61410">
      <w:start w:val="1"/>
      <w:numFmt w:val="bullet"/>
      <w:lvlText w:val=""/>
      <w:lvlJc w:val="left"/>
      <w:pPr>
        <w:ind w:left="792" w:hanging="360"/>
      </w:pPr>
      <w:rPr>
        <w:rFonts w:ascii="Symbol" w:hAnsi="Symbol" w:hint="default"/>
      </w:rPr>
    </w:lvl>
    <w:lvl w:ilvl="1" w:tplc="E9F61410">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5FD960CE"/>
    <w:multiLevelType w:val="hybridMultilevel"/>
    <w:tmpl w:val="1CF0645C"/>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62D95988"/>
    <w:multiLevelType w:val="hybridMultilevel"/>
    <w:tmpl w:val="E438FEA4"/>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64A1318D"/>
    <w:multiLevelType w:val="hybridMultilevel"/>
    <w:tmpl w:val="41142E6A"/>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70448FE"/>
    <w:multiLevelType w:val="hybridMultilevel"/>
    <w:tmpl w:val="D97E33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7ED31F4"/>
    <w:multiLevelType w:val="hybridMultilevel"/>
    <w:tmpl w:val="5ECC4550"/>
    <w:lvl w:ilvl="0" w:tplc="756ADD5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217102"/>
    <w:multiLevelType w:val="hybridMultilevel"/>
    <w:tmpl w:val="64D0F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280275"/>
    <w:multiLevelType w:val="hybridMultilevel"/>
    <w:tmpl w:val="D4AA0D1E"/>
    <w:lvl w:ilvl="0" w:tplc="E9F61410">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15:restartNumberingAfterBreak="0">
    <w:nsid w:val="79D70270"/>
    <w:multiLevelType w:val="hybridMultilevel"/>
    <w:tmpl w:val="4C385EDA"/>
    <w:lvl w:ilvl="0" w:tplc="BEEABD86">
      <w:start w:val="1"/>
      <w:numFmt w:val="low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7C6B6211"/>
    <w:multiLevelType w:val="hybridMultilevel"/>
    <w:tmpl w:val="1E200484"/>
    <w:lvl w:ilvl="0" w:tplc="B84CE40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26"/>
  </w:num>
  <w:num w:numId="4">
    <w:abstractNumId w:val="21"/>
  </w:num>
  <w:num w:numId="5">
    <w:abstractNumId w:val="7"/>
  </w:num>
  <w:num w:numId="6">
    <w:abstractNumId w:val="24"/>
  </w:num>
  <w:num w:numId="7">
    <w:abstractNumId w:val="17"/>
  </w:num>
  <w:num w:numId="8">
    <w:abstractNumId w:val="6"/>
  </w:num>
  <w:num w:numId="9">
    <w:abstractNumId w:val="12"/>
  </w:num>
  <w:num w:numId="10">
    <w:abstractNumId w:val="20"/>
  </w:num>
  <w:num w:numId="11">
    <w:abstractNumId w:val="19"/>
  </w:num>
  <w:num w:numId="12">
    <w:abstractNumId w:val="15"/>
  </w:num>
  <w:num w:numId="13">
    <w:abstractNumId w:val="0"/>
  </w:num>
  <w:num w:numId="14">
    <w:abstractNumId w:val="18"/>
  </w:num>
  <w:num w:numId="15">
    <w:abstractNumId w:val="14"/>
  </w:num>
  <w:num w:numId="16">
    <w:abstractNumId w:val="8"/>
  </w:num>
  <w:num w:numId="17">
    <w:abstractNumId w:val="16"/>
  </w:num>
  <w:num w:numId="18">
    <w:abstractNumId w:val="23"/>
  </w:num>
  <w:num w:numId="19">
    <w:abstractNumId w:val="5"/>
  </w:num>
  <w:num w:numId="20">
    <w:abstractNumId w:val="22"/>
  </w:num>
  <w:num w:numId="21">
    <w:abstractNumId w:val="25"/>
  </w:num>
  <w:num w:numId="22">
    <w:abstractNumId w:val="11"/>
  </w:num>
  <w:num w:numId="23">
    <w:abstractNumId w:val="2"/>
  </w:num>
  <w:num w:numId="24">
    <w:abstractNumId w:val="3"/>
  </w:num>
  <w:num w:numId="25">
    <w:abstractNumId w:val="10"/>
  </w:num>
  <w:num w:numId="26">
    <w:abstractNumId w:val="1"/>
  </w:num>
  <w:num w:numId="2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E8"/>
    <w:rsid w:val="00012682"/>
    <w:rsid w:val="000149E8"/>
    <w:rsid w:val="00017D20"/>
    <w:rsid w:val="00022853"/>
    <w:rsid w:val="00025827"/>
    <w:rsid w:val="00030486"/>
    <w:rsid w:val="00040D88"/>
    <w:rsid w:val="0005063A"/>
    <w:rsid w:val="00052142"/>
    <w:rsid w:val="000571E7"/>
    <w:rsid w:val="000605AE"/>
    <w:rsid w:val="00062CAA"/>
    <w:rsid w:val="00063720"/>
    <w:rsid w:val="00080D95"/>
    <w:rsid w:val="00084EEE"/>
    <w:rsid w:val="000A1E03"/>
    <w:rsid w:val="000A3634"/>
    <w:rsid w:val="000A5D17"/>
    <w:rsid w:val="000B0894"/>
    <w:rsid w:val="000B44EA"/>
    <w:rsid w:val="000B67A6"/>
    <w:rsid w:val="000C1C8D"/>
    <w:rsid w:val="000C2C57"/>
    <w:rsid w:val="000C3229"/>
    <w:rsid w:val="000D1FC8"/>
    <w:rsid w:val="000E0647"/>
    <w:rsid w:val="000E41E8"/>
    <w:rsid w:val="000E4A17"/>
    <w:rsid w:val="000E67B6"/>
    <w:rsid w:val="000F11C9"/>
    <w:rsid w:val="00103C89"/>
    <w:rsid w:val="00104E9E"/>
    <w:rsid w:val="00106FDE"/>
    <w:rsid w:val="00106FF2"/>
    <w:rsid w:val="0012215B"/>
    <w:rsid w:val="00122DBF"/>
    <w:rsid w:val="00123EEA"/>
    <w:rsid w:val="00130077"/>
    <w:rsid w:val="00136B16"/>
    <w:rsid w:val="00150EFD"/>
    <w:rsid w:val="00154DD3"/>
    <w:rsid w:val="00163EE2"/>
    <w:rsid w:val="0016428D"/>
    <w:rsid w:val="00167A1E"/>
    <w:rsid w:val="001732B6"/>
    <w:rsid w:val="00180B1B"/>
    <w:rsid w:val="00181836"/>
    <w:rsid w:val="00181B97"/>
    <w:rsid w:val="00182676"/>
    <w:rsid w:val="00182DD4"/>
    <w:rsid w:val="00195E53"/>
    <w:rsid w:val="0019754D"/>
    <w:rsid w:val="001A4CDC"/>
    <w:rsid w:val="001A4E65"/>
    <w:rsid w:val="001A51CB"/>
    <w:rsid w:val="001B196D"/>
    <w:rsid w:val="001C11FB"/>
    <w:rsid w:val="001C7164"/>
    <w:rsid w:val="001E1935"/>
    <w:rsid w:val="001F4E36"/>
    <w:rsid w:val="001F5B22"/>
    <w:rsid w:val="001F605F"/>
    <w:rsid w:val="001F7E60"/>
    <w:rsid w:val="00205B95"/>
    <w:rsid w:val="0021353C"/>
    <w:rsid w:val="00220152"/>
    <w:rsid w:val="00232CB4"/>
    <w:rsid w:val="00233A19"/>
    <w:rsid w:val="00241F20"/>
    <w:rsid w:val="0024376E"/>
    <w:rsid w:val="00247B51"/>
    <w:rsid w:val="002636F3"/>
    <w:rsid w:val="0028304E"/>
    <w:rsid w:val="002A09E3"/>
    <w:rsid w:val="002A240A"/>
    <w:rsid w:val="002B5A33"/>
    <w:rsid w:val="002C1867"/>
    <w:rsid w:val="002D75BA"/>
    <w:rsid w:val="002E24B4"/>
    <w:rsid w:val="002E539B"/>
    <w:rsid w:val="002F1678"/>
    <w:rsid w:val="002F29E6"/>
    <w:rsid w:val="003011CE"/>
    <w:rsid w:val="003039B6"/>
    <w:rsid w:val="003111F6"/>
    <w:rsid w:val="003149BC"/>
    <w:rsid w:val="00320A23"/>
    <w:rsid w:val="0032144D"/>
    <w:rsid w:val="00322070"/>
    <w:rsid w:val="00324E06"/>
    <w:rsid w:val="00325349"/>
    <w:rsid w:val="0033215D"/>
    <w:rsid w:val="003335A0"/>
    <w:rsid w:val="003340A0"/>
    <w:rsid w:val="00337436"/>
    <w:rsid w:val="003406AE"/>
    <w:rsid w:val="003427F6"/>
    <w:rsid w:val="00352E71"/>
    <w:rsid w:val="0035511B"/>
    <w:rsid w:val="00355657"/>
    <w:rsid w:val="003615DD"/>
    <w:rsid w:val="00361670"/>
    <w:rsid w:val="00367975"/>
    <w:rsid w:val="00374AC1"/>
    <w:rsid w:val="003800B5"/>
    <w:rsid w:val="00392969"/>
    <w:rsid w:val="003A7E5C"/>
    <w:rsid w:val="003B2E90"/>
    <w:rsid w:val="003C301E"/>
    <w:rsid w:val="003C4C2D"/>
    <w:rsid w:val="003C70DD"/>
    <w:rsid w:val="003D2C86"/>
    <w:rsid w:val="003D4B1A"/>
    <w:rsid w:val="003D5E0C"/>
    <w:rsid w:val="003E1D99"/>
    <w:rsid w:val="003F6890"/>
    <w:rsid w:val="003F7329"/>
    <w:rsid w:val="003F7471"/>
    <w:rsid w:val="00403602"/>
    <w:rsid w:val="004062DE"/>
    <w:rsid w:val="00406BA2"/>
    <w:rsid w:val="004071DC"/>
    <w:rsid w:val="0041401E"/>
    <w:rsid w:val="00414C28"/>
    <w:rsid w:val="004161A9"/>
    <w:rsid w:val="00423816"/>
    <w:rsid w:val="004252A6"/>
    <w:rsid w:val="00427EB0"/>
    <w:rsid w:val="00434BEE"/>
    <w:rsid w:val="0043564E"/>
    <w:rsid w:val="00437E54"/>
    <w:rsid w:val="00445815"/>
    <w:rsid w:val="00455CD9"/>
    <w:rsid w:val="00456B9B"/>
    <w:rsid w:val="00461F3C"/>
    <w:rsid w:val="00474C62"/>
    <w:rsid w:val="004760F8"/>
    <w:rsid w:val="0048122E"/>
    <w:rsid w:val="00492E3F"/>
    <w:rsid w:val="004A6EF3"/>
    <w:rsid w:val="004B50B4"/>
    <w:rsid w:val="004B5A44"/>
    <w:rsid w:val="004B7BFC"/>
    <w:rsid w:val="004C42F3"/>
    <w:rsid w:val="004C6F63"/>
    <w:rsid w:val="004D02A8"/>
    <w:rsid w:val="004D0FE1"/>
    <w:rsid w:val="004D2FCE"/>
    <w:rsid w:val="004D3701"/>
    <w:rsid w:val="004D58B7"/>
    <w:rsid w:val="004E3F71"/>
    <w:rsid w:val="004F75EB"/>
    <w:rsid w:val="005024F2"/>
    <w:rsid w:val="005026BF"/>
    <w:rsid w:val="005033A4"/>
    <w:rsid w:val="00515CFE"/>
    <w:rsid w:val="00522FDF"/>
    <w:rsid w:val="0052571A"/>
    <w:rsid w:val="005326F8"/>
    <w:rsid w:val="00541109"/>
    <w:rsid w:val="005423BF"/>
    <w:rsid w:val="00544EC7"/>
    <w:rsid w:val="00546EDF"/>
    <w:rsid w:val="00552C28"/>
    <w:rsid w:val="005569A2"/>
    <w:rsid w:val="005633B8"/>
    <w:rsid w:val="00563B73"/>
    <w:rsid w:val="00566AF1"/>
    <w:rsid w:val="005703B8"/>
    <w:rsid w:val="00575E1D"/>
    <w:rsid w:val="00583BC2"/>
    <w:rsid w:val="005966F6"/>
    <w:rsid w:val="00597340"/>
    <w:rsid w:val="005A2436"/>
    <w:rsid w:val="005A6C77"/>
    <w:rsid w:val="005B08F8"/>
    <w:rsid w:val="005B0AD3"/>
    <w:rsid w:val="005B1623"/>
    <w:rsid w:val="005D7C14"/>
    <w:rsid w:val="005E2C49"/>
    <w:rsid w:val="005E2D88"/>
    <w:rsid w:val="005E2F6D"/>
    <w:rsid w:val="005E3DE0"/>
    <w:rsid w:val="005E5BD0"/>
    <w:rsid w:val="005F0929"/>
    <w:rsid w:val="005F1DBB"/>
    <w:rsid w:val="00600126"/>
    <w:rsid w:val="00602A10"/>
    <w:rsid w:val="00605648"/>
    <w:rsid w:val="006078AA"/>
    <w:rsid w:val="006217AC"/>
    <w:rsid w:val="00622BA2"/>
    <w:rsid w:val="0062634F"/>
    <w:rsid w:val="0063125E"/>
    <w:rsid w:val="0063407A"/>
    <w:rsid w:val="006363BE"/>
    <w:rsid w:val="00650C32"/>
    <w:rsid w:val="00654435"/>
    <w:rsid w:val="006661CD"/>
    <w:rsid w:val="00666821"/>
    <w:rsid w:val="00676D2C"/>
    <w:rsid w:val="0067744E"/>
    <w:rsid w:val="0068304E"/>
    <w:rsid w:val="00685699"/>
    <w:rsid w:val="00691295"/>
    <w:rsid w:val="006A03E2"/>
    <w:rsid w:val="006A65F9"/>
    <w:rsid w:val="006B6964"/>
    <w:rsid w:val="006D485E"/>
    <w:rsid w:val="006E0C02"/>
    <w:rsid w:val="006E5326"/>
    <w:rsid w:val="006F10C3"/>
    <w:rsid w:val="006F53C0"/>
    <w:rsid w:val="006F7AFA"/>
    <w:rsid w:val="00701E2E"/>
    <w:rsid w:val="00703B36"/>
    <w:rsid w:val="007119D6"/>
    <w:rsid w:val="0071370F"/>
    <w:rsid w:val="00715181"/>
    <w:rsid w:val="007166B7"/>
    <w:rsid w:val="00717460"/>
    <w:rsid w:val="00734BF6"/>
    <w:rsid w:val="00746A17"/>
    <w:rsid w:val="007532F6"/>
    <w:rsid w:val="00771297"/>
    <w:rsid w:val="00771A0F"/>
    <w:rsid w:val="00773632"/>
    <w:rsid w:val="00774065"/>
    <w:rsid w:val="00780A2A"/>
    <w:rsid w:val="00782C2E"/>
    <w:rsid w:val="0078701A"/>
    <w:rsid w:val="00795CBC"/>
    <w:rsid w:val="00796C3C"/>
    <w:rsid w:val="007B2168"/>
    <w:rsid w:val="007C3CA5"/>
    <w:rsid w:val="007C44C7"/>
    <w:rsid w:val="007C4C87"/>
    <w:rsid w:val="007D1AA6"/>
    <w:rsid w:val="007F2079"/>
    <w:rsid w:val="007F20D3"/>
    <w:rsid w:val="007F22D6"/>
    <w:rsid w:val="007F507B"/>
    <w:rsid w:val="00800A2B"/>
    <w:rsid w:val="008053DC"/>
    <w:rsid w:val="00805D59"/>
    <w:rsid w:val="00805E65"/>
    <w:rsid w:val="008158FD"/>
    <w:rsid w:val="00815A21"/>
    <w:rsid w:val="0081696A"/>
    <w:rsid w:val="00817D22"/>
    <w:rsid w:val="0082092F"/>
    <w:rsid w:val="0082627B"/>
    <w:rsid w:val="008310BA"/>
    <w:rsid w:val="00832FAE"/>
    <w:rsid w:val="00837931"/>
    <w:rsid w:val="00843947"/>
    <w:rsid w:val="00843A57"/>
    <w:rsid w:val="00847316"/>
    <w:rsid w:val="00860F8B"/>
    <w:rsid w:val="00866472"/>
    <w:rsid w:val="00871551"/>
    <w:rsid w:val="0088030F"/>
    <w:rsid w:val="00890C92"/>
    <w:rsid w:val="008957EB"/>
    <w:rsid w:val="00897E03"/>
    <w:rsid w:val="008A2396"/>
    <w:rsid w:val="008B46C4"/>
    <w:rsid w:val="008B4B95"/>
    <w:rsid w:val="008D07E9"/>
    <w:rsid w:val="008E1783"/>
    <w:rsid w:val="008E2048"/>
    <w:rsid w:val="008E2E82"/>
    <w:rsid w:val="008E55E7"/>
    <w:rsid w:val="008F35FA"/>
    <w:rsid w:val="008F5213"/>
    <w:rsid w:val="00902B3E"/>
    <w:rsid w:val="00905817"/>
    <w:rsid w:val="009065A8"/>
    <w:rsid w:val="0091269C"/>
    <w:rsid w:val="00920B25"/>
    <w:rsid w:val="00925BAE"/>
    <w:rsid w:val="009356AF"/>
    <w:rsid w:val="0095070E"/>
    <w:rsid w:val="009509D5"/>
    <w:rsid w:val="0095106A"/>
    <w:rsid w:val="009549B3"/>
    <w:rsid w:val="00961266"/>
    <w:rsid w:val="00965880"/>
    <w:rsid w:val="00970027"/>
    <w:rsid w:val="00972076"/>
    <w:rsid w:val="00973DFD"/>
    <w:rsid w:val="009759F5"/>
    <w:rsid w:val="0097754E"/>
    <w:rsid w:val="00984614"/>
    <w:rsid w:val="00986B1A"/>
    <w:rsid w:val="0099582A"/>
    <w:rsid w:val="009A3C7A"/>
    <w:rsid w:val="009B386B"/>
    <w:rsid w:val="009B5170"/>
    <w:rsid w:val="009B6FC2"/>
    <w:rsid w:val="009C061F"/>
    <w:rsid w:val="009C0D21"/>
    <w:rsid w:val="009C1349"/>
    <w:rsid w:val="009D0A8B"/>
    <w:rsid w:val="009D4504"/>
    <w:rsid w:val="009D4541"/>
    <w:rsid w:val="009E00B6"/>
    <w:rsid w:val="009E71C3"/>
    <w:rsid w:val="009E7E4F"/>
    <w:rsid w:val="00A035A5"/>
    <w:rsid w:val="00A13A40"/>
    <w:rsid w:val="00A21104"/>
    <w:rsid w:val="00A23792"/>
    <w:rsid w:val="00A40676"/>
    <w:rsid w:val="00A450DB"/>
    <w:rsid w:val="00A543C6"/>
    <w:rsid w:val="00A54BAF"/>
    <w:rsid w:val="00A5632A"/>
    <w:rsid w:val="00A563C1"/>
    <w:rsid w:val="00A60C67"/>
    <w:rsid w:val="00A70FF1"/>
    <w:rsid w:val="00A72D54"/>
    <w:rsid w:val="00A72EF5"/>
    <w:rsid w:val="00A752B6"/>
    <w:rsid w:val="00A77202"/>
    <w:rsid w:val="00A91871"/>
    <w:rsid w:val="00A95171"/>
    <w:rsid w:val="00A97693"/>
    <w:rsid w:val="00AA3731"/>
    <w:rsid w:val="00AA62F8"/>
    <w:rsid w:val="00AA752A"/>
    <w:rsid w:val="00AB44DE"/>
    <w:rsid w:val="00AB652C"/>
    <w:rsid w:val="00AC65B0"/>
    <w:rsid w:val="00AC7E39"/>
    <w:rsid w:val="00AD0989"/>
    <w:rsid w:val="00AD3EAE"/>
    <w:rsid w:val="00AE2F10"/>
    <w:rsid w:val="00AE478E"/>
    <w:rsid w:val="00AF3A25"/>
    <w:rsid w:val="00AF57CF"/>
    <w:rsid w:val="00AF5E46"/>
    <w:rsid w:val="00AF6DE0"/>
    <w:rsid w:val="00AF7DCC"/>
    <w:rsid w:val="00B07ADA"/>
    <w:rsid w:val="00B14BBE"/>
    <w:rsid w:val="00B16ED2"/>
    <w:rsid w:val="00B23C86"/>
    <w:rsid w:val="00B2445F"/>
    <w:rsid w:val="00B273DB"/>
    <w:rsid w:val="00B44DD4"/>
    <w:rsid w:val="00B52B53"/>
    <w:rsid w:val="00B57FEC"/>
    <w:rsid w:val="00B75B68"/>
    <w:rsid w:val="00B833E1"/>
    <w:rsid w:val="00B90F2F"/>
    <w:rsid w:val="00B9278D"/>
    <w:rsid w:val="00BA02B9"/>
    <w:rsid w:val="00BA139F"/>
    <w:rsid w:val="00BA251D"/>
    <w:rsid w:val="00BA62BF"/>
    <w:rsid w:val="00BA6873"/>
    <w:rsid w:val="00BA701F"/>
    <w:rsid w:val="00BB40C2"/>
    <w:rsid w:val="00BB74E7"/>
    <w:rsid w:val="00BC1FF5"/>
    <w:rsid w:val="00BC6843"/>
    <w:rsid w:val="00BD0589"/>
    <w:rsid w:val="00BD5A4E"/>
    <w:rsid w:val="00BD7C0B"/>
    <w:rsid w:val="00BE4888"/>
    <w:rsid w:val="00BF139C"/>
    <w:rsid w:val="00BF1CB7"/>
    <w:rsid w:val="00C14E42"/>
    <w:rsid w:val="00C22621"/>
    <w:rsid w:val="00C337D0"/>
    <w:rsid w:val="00C349F2"/>
    <w:rsid w:val="00C351AB"/>
    <w:rsid w:val="00C44B61"/>
    <w:rsid w:val="00C47941"/>
    <w:rsid w:val="00C502FE"/>
    <w:rsid w:val="00C50424"/>
    <w:rsid w:val="00C50A99"/>
    <w:rsid w:val="00C52638"/>
    <w:rsid w:val="00C52D36"/>
    <w:rsid w:val="00C60291"/>
    <w:rsid w:val="00C64321"/>
    <w:rsid w:val="00C644DE"/>
    <w:rsid w:val="00C704C8"/>
    <w:rsid w:val="00C85766"/>
    <w:rsid w:val="00C90BB1"/>
    <w:rsid w:val="00C979B3"/>
    <w:rsid w:val="00CA2BBC"/>
    <w:rsid w:val="00CB4EB4"/>
    <w:rsid w:val="00CB73A9"/>
    <w:rsid w:val="00CC56DA"/>
    <w:rsid w:val="00CD238C"/>
    <w:rsid w:val="00CD4169"/>
    <w:rsid w:val="00CE1F1F"/>
    <w:rsid w:val="00CE468B"/>
    <w:rsid w:val="00CF256E"/>
    <w:rsid w:val="00CF2C6D"/>
    <w:rsid w:val="00CF7ECC"/>
    <w:rsid w:val="00D00A65"/>
    <w:rsid w:val="00D015F9"/>
    <w:rsid w:val="00D043C8"/>
    <w:rsid w:val="00D0785D"/>
    <w:rsid w:val="00D12C9B"/>
    <w:rsid w:val="00D15A0B"/>
    <w:rsid w:val="00D26433"/>
    <w:rsid w:val="00D30D82"/>
    <w:rsid w:val="00D3406A"/>
    <w:rsid w:val="00D3568C"/>
    <w:rsid w:val="00D36251"/>
    <w:rsid w:val="00D44171"/>
    <w:rsid w:val="00D45296"/>
    <w:rsid w:val="00D45B38"/>
    <w:rsid w:val="00D47712"/>
    <w:rsid w:val="00D47A29"/>
    <w:rsid w:val="00D50807"/>
    <w:rsid w:val="00D56365"/>
    <w:rsid w:val="00D63E43"/>
    <w:rsid w:val="00D64696"/>
    <w:rsid w:val="00D67196"/>
    <w:rsid w:val="00D763D3"/>
    <w:rsid w:val="00D8091D"/>
    <w:rsid w:val="00D812B6"/>
    <w:rsid w:val="00D9222A"/>
    <w:rsid w:val="00D95BD3"/>
    <w:rsid w:val="00DA2023"/>
    <w:rsid w:val="00DA3E9D"/>
    <w:rsid w:val="00DA5A0C"/>
    <w:rsid w:val="00DB083D"/>
    <w:rsid w:val="00DB2D5B"/>
    <w:rsid w:val="00DB54C7"/>
    <w:rsid w:val="00DC4DED"/>
    <w:rsid w:val="00DC7D42"/>
    <w:rsid w:val="00DD2786"/>
    <w:rsid w:val="00DD549C"/>
    <w:rsid w:val="00DD6E52"/>
    <w:rsid w:val="00DD7F9C"/>
    <w:rsid w:val="00DF4C3F"/>
    <w:rsid w:val="00E0070D"/>
    <w:rsid w:val="00E01DF5"/>
    <w:rsid w:val="00E0301B"/>
    <w:rsid w:val="00E031D1"/>
    <w:rsid w:val="00E06F7C"/>
    <w:rsid w:val="00E21E94"/>
    <w:rsid w:val="00E33722"/>
    <w:rsid w:val="00E345AD"/>
    <w:rsid w:val="00E34BFB"/>
    <w:rsid w:val="00E3613C"/>
    <w:rsid w:val="00E36BBF"/>
    <w:rsid w:val="00E4218D"/>
    <w:rsid w:val="00E4469F"/>
    <w:rsid w:val="00E47D8D"/>
    <w:rsid w:val="00E50F51"/>
    <w:rsid w:val="00E533B7"/>
    <w:rsid w:val="00E62014"/>
    <w:rsid w:val="00E71CE1"/>
    <w:rsid w:val="00E73594"/>
    <w:rsid w:val="00E82F5C"/>
    <w:rsid w:val="00E86AAC"/>
    <w:rsid w:val="00E906D7"/>
    <w:rsid w:val="00E955AA"/>
    <w:rsid w:val="00E97792"/>
    <w:rsid w:val="00EB04F2"/>
    <w:rsid w:val="00EB2737"/>
    <w:rsid w:val="00EB4209"/>
    <w:rsid w:val="00EB52C5"/>
    <w:rsid w:val="00EC3655"/>
    <w:rsid w:val="00ED113C"/>
    <w:rsid w:val="00EE43DB"/>
    <w:rsid w:val="00EE6CB8"/>
    <w:rsid w:val="00EF00F8"/>
    <w:rsid w:val="00EF51C0"/>
    <w:rsid w:val="00F01148"/>
    <w:rsid w:val="00F01C9E"/>
    <w:rsid w:val="00F03E7A"/>
    <w:rsid w:val="00F0517E"/>
    <w:rsid w:val="00F11BBE"/>
    <w:rsid w:val="00F12327"/>
    <w:rsid w:val="00F1508A"/>
    <w:rsid w:val="00F23806"/>
    <w:rsid w:val="00F26C38"/>
    <w:rsid w:val="00F31CF4"/>
    <w:rsid w:val="00F328C3"/>
    <w:rsid w:val="00F469C0"/>
    <w:rsid w:val="00F56046"/>
    <w:rsid w:val="00F579E3"/>
    <w:rsid w:val="00F72EA8"/>
    <w:rsid w:val="00F732E4"/>
    <w:rsid w:val="00F846F8"/>
    <w:rsid w:val="00F86882"/>
    <w:rsid w:val="00FB358F"/>
    <w:rsid w:val="00FC283A"/>
    <w:rsid w:val="00FC3379"/>
    <w:rsid w:val="00FC35BF"/>
    <w:rsid w:val="00FC53AA"/>
    <w:rsid w:val="00FD031F"/>
    <w:rsid w:val="00FD7FD6"/>
    <w:rsid w:val="00FE156E"/>
    <w:rsid w:val="00FE528E"/>
    <w:rsid w:val="00FF72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CFD49"/>
  <w15:docId w15:val="{D0BFD74B-B0A8-4F7F-9C4E-ACB64F7C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326"/>
  </w:style>
  <w:style w:type="paragraph" w:styleId="Heading1">
    <w:name w:val="heading 1"/>
    <w:basedOn w:val="Normal"/>
    <w:next w:val="Normal"/>
    <w:link w:val="Heading1Char"/>
    <w:uiPriority w:val="9"/>
    <w:qFormat/>
    <w:rsid w:val="009507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E43DB"/>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43DB"/>
    <w:rPr>
      <w:rFonts w:ascii="Times New Roman" w:eastAsia="Times New Roman" w:hAnsi="Times New Roman" w:cs="Times New Roman"/>
      <w:b/>
      <w:bCs/>
      <w:sz w:val="27"/>
      <w:szCs w:val="27"/>
      <w:lang w:eastAsia="ro-RO"/>
    </w:rPr>
  </w:style>
  <w:style w:type="numbering" w:customStyle="1" w:styleId="NoList1">
    <w:name w:val="No List1"/>
    <w:next w:val="NoList"/>
    <w:uiPriority w:val="99"/>
    <w:semiHidden/>
    <w:unhideWhenUsed/>
    <w:rsid w:val="00EE43DB"/>
  </w:style>
  <w:style w:type="paragraph" w:customStyle="1" w:styleId="msonormal0">
    <w:name w:val="msonormal"/>
    <w:basedOn w:val="Normal"/>
    <w:rsid w:val="00EE43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pelle">
    <w:name w:val="spelle"/>
    <w:basedOn w:val="DefaultParagraphFont"/>
    <w:rsid w:val="00EE43DB"/>
  </w:style>
  <w:style w:type="paragraph" w:styleId="NormalWeb">
    <w:name w:val="Normal (Web)"/>
    <w:basedOn w:val="Normal"/>
    <w:uiPriority w:val="99"/>
    <w:semiHidden/>
    <w:unhideWhenUsed/>
    <w:rsid w:val="00EE43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3">
    <w:name w:val="rvts13"/>
    <w:basedOn w:val="DefaultParagraphFont"/>
    <w:rsid w:val="00EE43DB"/>
  </w:style>
  <w:style w:type="paragraph" w:customStyle="1" w:styleId="rvps1">
    <w:name w:val="rvps1"/>
    <w:basedOn w:val="Normal"/>
    <w:rsid w:val="00EE43D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rvps2">
    <w:name w:val="rvps2"/>
    <w:basedOn w:val="Normal"/>
    <w:rsid w:val="00EE43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21">
    <w:name w:val="rvts21"/>
    <w:basedOn w:val="DefaultParagraphFont"/>
    <w:rsid w:val="00EE43DB"/>
  </w:style>
  <w:style w:type="character" w:styleId="Hyperlink">
    <w:name w:val="Hyperlink"/>
    <w:basedOn w:val="DefaultParagraphFont"/>
    <w:uiPriority w:val="99"/>
    <w:unhideWhenUsed/>
    <w:rsid w:val="00EE43DB"/>
    <w:rPr>
      <w:color w:val="0000FF"/>
      <w:u w:val="single"/>
    </w:rPr>
  </w:style>
  <w:style w:type="character" w:styleId="FollowedHyperlink">
    <w:name w:val="FollowedHyperlink"/>
    <w:basedOn w:val="DefaultParagraphFont"/>
    <w:uiPriority w:val="99"/>
    <w:semiHidden/>
    <w:unhideWhenUsed/>
    <w:rsid w:val="00EE43DB"/>
    <w:rPr>
      <w:color w:val="800080"/>
      <w:u w:val="single"/>
    </w:rPr>
  </w:style>
  <w:style w:type="character" w:customStyle="1" w:styleId="rvts41">
    <w:name w:val="rvts41"/>
    <w:basedOn w:val="DefaultParagraphFont"/>
    <w:rsid w:val="00EE43DB"/>
  </w:style>
  <w:style w:type="character" w:customStyle="1" w:styleId="rvts51">
    <w:name w:val="rvts51"/>
    <w:basedOn w:val="DefaultParagraphFont"/>
    <w:rsid w:val="00EE43DB"/>
  </w:style>
  <w:style w:type="character" w:customStyle="1" w:styleId="rvts61">
    <w:name w:val="rvts61"/>
    <w:basedOn w:val="DefaultParagraphFont"/>
    <w:rsid w:val="00EE43DB"/>
  </w:style>
  <w:style w:type="character" w:customStyle="1" w:styleId="rvts71">
    <w:name w:val="rvts71"/>
    <w:basedOn w:val="DefaultParagraphFont"/>
    <w:rsid w:val="00EE43DB"/>
  </w:style>
  <w:style w:type="character" w:customStyle="1" w:styleId="rvts91">
    <w:name w:val="rvts91"/>
    <w:basedOn w:val="DefaultParagraphFont"/>
    <w:rsid w:val="00EE43DB"/>
  </w:style>
  <w:style w:type="character" w:customStyle="1" w:styleId="rvts101">
    <w:name w:val="rvts101"/>
    <w:basedOn w:val="DefaultParagraphFont"/>
    <w:rsid w:val="00EE43DB"/>
  </w:style>
  <w:style w:type="character" w:customStyle="1" w:styleId="grame">
    <w:name w:val="grame"/>
    <w:basedOn w:val="DefaultParagraphFont"/>
    <w:rsid w:val="00EE43DB"/>
  </w:style>
  <w:style w:type="character" w:customStyle="1" w:styleId="rvts111">
    <w:name w:val="rvts111"/>
    <w:basedOn w:val="DefaultParagraphFont"/>
    <w:rsid w:val="00EE43DB"/>
  </w:style>
  <w:style w:type="character" w:customStyle="1" w:styleId="rvts121">
    <w:name w:val="rvts121"/>
    <w:basedOn w:val="DefaultParagraphFont"/>
    <w:rsid w:val="00EE43DB"/>
  </w:style>
  <w:style w:type="paragraph" w:styleId="Header">
    <w:name w:val="header"/>
    <w:basedOn w:val="Normal"/>
    <w:link w:val="HeaderChar"/>
    <w:uiPriority w:val="99"/>
    <w:unhideWhenUsed/>
    <w:rsid w:val="00F46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C0"/>
  </w:style>
  <w:style w:type="paragraph" w:styleId="Footer">
    <w:name w:val="footer"/>
    <w:basedOn w:val="Normal"/>
    <w:link w:val="FooterChar"/>
    <w:uiPriority w:val="99"/>
    <w:unhideWhenUsed/>
    <w:rsid w:val="00F46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C0"/>
  </w:style>
  <w:style w:type="paragraph" w:styleId="ListParagraph">
    <w:name w:val="List Paragraph"/>
    <w:basedOn w:val="Normal"/>
    <w:qFormat/>
    <w:rsid w:val="00F469C0"/>
    <w:pPr>
      <w:ind w:left="720"/>
      <w:contextualSpacing/>
    </w:pPr>
  </w:style>
  <w:style w:type="table" w:styleId="TableGrid">
    <w:name w:val="Table Grid"/>
    <w:basedOn w:val="TableNormal"/>
    <w:uiPriority w:val="59"/>
    <w:rsid w:val="004161A9"/>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default">
    <w:name w:val="title_default"/>
    <w:basedOn w:val="DefaultParagraphFont"/>
    <w:rsid w:val="004161A9"/>
  </w:style>
  <w:style w:type="character" w:customStyle="1" w:styleId="UnresolvedMention1">
    <w:name w:val="Unresolved Mention1"/>
    <w:basedOn w:val="DefaultParagraphFont"/>
    <w:uiPriority w:val="99"/>
    <w:semiHidden/>
    <w:unhideWhenUsed/>
    <w:rsid w:val="004D02A8"/>
    <w:rPr>
      <w:color w:val="605E5C"/>
      <w:shd w:val="clear" w:color="auto" w:fill="E1DFDD"/>
    </w:rPr>
  </w:style>
  <w:style w:type="paragraph" w:customStyle="1" w:styleId="Default">
    <w:name w:val="Default"/>
    <w:rsid w:val="009509D5"/>
    <w:pPr>
      <w:autoSpaceDE w:val="0"/>
      <w:autoSpaceDN w:val="0"/>
      <w:adjustRightInd w:val="0"/>
      <w:spacing w:after="0" w:line="240" w:lineRule="auto"/>
    </w:pPr>
    <w:rPr>
      <w:rFonts w:ascii="Calibri" w:hAnsi="Calibri" w:cs="Calibri"/>
      <w:color w:val="000000"/>
      <w:sz w:val="24"/>
      <w:szCs w:val="24"/>
    </w:rPr>
  </w:style>
  <w:style w:type="character" w:customStyle="1" w:styleId="pg-1fc1">
    <w:name w:val="pg-1fc1"/>
    <w:basedOn w:val="DefaultParagraphFont"/>
    <w:rsid w:val="00DC7D42"/>
  </w:style>
  <w:style w:type="character" w:styleId="CommentReference">
    <w:name w:val="annotation reference"/>
    <w:basedOn w:val="DefaultParagraphFont"/>
    <w:uiPriority w:val="99"/>
    <w:semiHidden/>
    <w:unhideWhenUsed/>
    <w:rsid w:val="00A543C6"/>
    <w:rPr>
      <w:sz w:val="16"/>
      <w:szCs w:val="16"/>
    </w:rPr>
  </w:style>
  <w:style w:type="paragraph" w:styleId="CommentText">
    <w:name w:val="annotation text"/>
    <w:basedOn w:val="Normal"/>
    <w:link w:val="CommentTextChar"/>
    <w:uiPriority w:val="99"/>
    <w:semiHidden/>
    <w:unhideWhenUsed/>
    <w:rsid w:val="00A543C6"/>
    <w:pPr>
      <w:spacing w:line="240" w:lineRule="auto"/>
    </w:pPr>
    <w:rPr>
      <w:sz w:val="20"/>
      <w:szCs w:val="20"/>
    </w:rPr>
  </w:style>
  <w:style w:type="character" w:customStyle="1" w:styleId="CommentTextChar">
    <w:name w:val="Comment Text Char"/>
    <w:basedOn w:val="DefaultParagraphFont"/>
    <w:link w:val="CommentText"/>
    <w:uiPriority w:val="99"/>
    <w:semiHidden/>
    <w:rsid w:val="00A543C6"/>
    <w:rPr>
      <w:sz w:val="20"/>
      <w:szCs w:val="20"/>
    </w:rPr>
  </w:style>
  <w:style w:type="paragraph" w:styleId="CommentSubject">
    <w:name w:val="annotation subject"/>
    <w:basedOn w:val="CommentText"/>
    <w:next w:val="CommentText"/>
    <w:link w:val="CommentSubjectChar"/>
    <w:uiPriority w:val="99"/>
    <w:semiHidden/>
    <w:unhideWhenUsed/>
    <w:rsid w:val="00A543C6"/>
    <w:rPr>
      <w:b/>
      <w:bCs/>
    </w:rPr>
  </w:style>
  <w:style w:type="character" w:customStyle="1" w:styleId="CommentSubjectChar">
    <w:name w:val="Comment Subject Char"/>
    <w:basedOn w:val="CommentTextChar"/>
    <w:link w:val="CommentSubject"/>
    <w:uiPriority w:val="99"/>
    <w:semiHidden/>
    <w:rsid w:val="00A543C6"/>
    <w:rPr>
      <w:b/>
      <w:bCs/>
      <w:sz w:val="20"/>
      <w:szCs w:val="20"/>
    </w:rPr>
  </w:style>
  <w:style w:type="paragraph" w:styleId="BalloonText">
    <w:name w:val="Balloon Text"/>
    <w:basedOn w:val="Normal"/>
    <w:link w:val="BalloonTextChar"/>
    <w:uiPriority w:val="99"/>
    <w:semiHidden/>
    <w:unhideWhenUsed/>
    <w:rsid w:val="00A54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3C6"/>
    <w:rPr>
      <w:rFonts w:ascii="Segoe UI" w:hAnsi="Segoe UI" w:cs="Segoe UI"/>
      <w:sz w:val="18"/>
      <w:szCs w:val="18"/>
    </w:rPr>
  </w:style>
  <w:style w:type="character" w:customStyle="1" w:styleId="Heading1Char">
    <w:name w:val="Heading 1 Char"/>
    <w:basedOn w:val="DefaultParagraphFont"/>
    <w:link w:val="Heading1"/>
    <w:uiPriority w:val="9"/>
    <w:rsid w:val="0095070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A6C77"/>
    <w:pPr>
      <w:spacing w:after="0" w:line="240" w:lineRule="auto"/>
    </w:pPr>
  </w:style>
  <w:style w:type="character" w:customStyle="1" w:styleId="UnresolvedMention2">
    <w:name w:val="Unresolved Mention2"/>
    <w:basedOn w:val="DefaultParagraphFont"/>
    <w:uiPriority w:val="99"/>
    <w:semiHidden/>
    <w:unhideWhenUsed/>
    <w:rsid w:val="00BD5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2303">
      <w:bodyDiv w:val="1"/>
      <w:marLeft w:val="0"/>
      <w:marRight w:val="0"/>
      <w:marTop w:val="0"/>
      <w:marBottom w:val="0"/>
      <w:divBdr>
        <w:top w:val="none" w:sz="0" w:space="0" w:color="auto"/>
        <w:left w:val="none" w:sz="0" w:space="0" w:color="auto"/>
        <w:bottom w:val="none" w:sz="0" w:space="0" w:color="auto"/>
        <w:right w:val="none" w:sz="0" w:space="0" w:color="auto"/>
      </w:divBdr>
    </w:div>
    <w:div w:id="648553498">
      <w:bodyDiv w:val="1"/>
      <w:marLeft w:val="0"/>
      <w:marRight w:val="0"/>
      <w:marTop w:val="0"/>
      <w:marBottom w:val="0"/>
      <w:divBdr>
        <w:top w:val="none" w:sz="0" w:space="0" w:color="auto"/>
        <w:left w:val="none" w:sz="0" w:space="0" w:color="auto"/>
        <w:bottom w:val="none" w:sz="0" w:space="0" w:color="auto"/>
        <w:right w:val="none" w:sz="0" w:space="0" w:color="auto"/>
      </w:divBdr>
    </w:div>
    <w:div w:id="723018420">
      <w:bodyDiv w:val="1"/>
      <w:marLeft w:val="0"/>
      <w:marRight w:val="0"/>
      <w:marTop w:val="0"/>
      <w:marBottom w:val="0"/>
      <w:divBdr>
        <w:top w:val="none" w:sz="0" w:space="0" w:color="auto"/>
        <w:left w:val="none" w:sz="0" w:space="0" w:color="auto"/>
        <w:bottom w:val="none" w:sz="0" w:space="0" w:color="auto"/>
        <w:right w:val="none" w:sz="0" w:space="0" w:color="auto"/>
      </w:divBdr>
    </w:div>
    <w:div w:id="775715921">
      <w:bodyDiv w:val="1"/>
      <w:marLeft w:val="0"/>
      <w:marRight w:val="0"/>
      <w:marTop w:val="0"/>
      <w:marBottom w:val="0"/>
      <w:divBdr>
        <w:top w:val="none" w:sz="0" w:space="0" w:color="auto"/>
        <w:left w:val="none" w:sz="0" w:space="0" w:color="auto"/>
        <w:bottom w:val="none" w:sz="0" w:space="0" w:color="auto"/>
        <w:right w:val="none" w:sz="0" w:space="0" w:color="auto"/>
      </w:divBdr>
    </w:div>
    <w:div w:id="1133522024">
      <w:bodyDiv w:val="1"/>
      <w:marLeft w:val="0"/>
      <w:marRight w:val="0"/>
      <w:marTop w:val="0"/>
      <w:marBottom w:val="0"/>
      <w:divBdr>
        <w:top w:val="none" w:sz="0" w:space="0" w:color="auto"/>
        <w:left w:val="none" w:sz="0" w:space="0" w:color="auto"/>
        <w:bottom w:val="none" w:sz="0" w:space="0" w:color="auto"/>
        <w:right w:val="none" w:sz="0" w:space="0" w:color="auto"/>
      </w:divBdr>
      <w:divsChild>
        <w:div w:id="1303149095">
          <w:marLeft w:val="0"/>
          <w:marRight w:val="0"/>
          <w:marTop w:val="0"/>
          <w:marBottom w:val="0"/>
          <w:divBdr>
            <w:top w:val="none" w:sz="0" w:space="0" w:color="auto"/>
            <w:left w:val="none" w:sz="0" w:space="0" w:color="auto"/>
            <w:bottom w:val="none" w:sz="0" w:space="0" w:color="auto"/>
            <w:right w:val="none" w:sz="0" w:space="0" w:color="auto"/>
          </w:divBdr>
        </w:div>
        <w:div w:id="1792018961">
          <w:marLeft w:val="0"/>
          <w:marRight w:val="0"/>
          <w:marTop w:val="0"/>
          <w:marBottom w:val="0"/>
          <w:divBdr>
            <w:top w:val="none" w:sz="0" w:space="0" w:color="auto"/>
            <w:left w:val="none" w:sz="0" w:space="0" w:color="auto"/>
            <w:bottom w:val="none" w:sz="0" w:space="0" w:color="auto"/>
            <w:right w:val="none" w:sz="0" w:space="0" w:color="auto"/>
          </w:divBdr>
        </w:div>
        <w:div w:id="718240343">
          <w:marLeft w:val="0"/>
          <w:marRight w:val="0"/>
          <w:marTop w:val="0"/>
          <w:marBottom w:val="0"/>
          <w:divBdr>
            <w:top w:val="none" w:sz="0" w:space="0" w:color="auto"/>
            <w:left w:val="none" w:sz="0" w:space="0" w:color="auto"/>
            <w:bottom w:val="none" w:sz="0" w:space="0" w:color="auto"/>
            <w:right w:val="none" w:sz="0" w:space="0" w:color="auto"/>
          </w:divBdr>
        </w:div>
        <w:div w:id="773133736">
          <w:marLeft w:val="0"/>
          <w:marRight w:val="0"/>
          <w:marTop w:val="0"/>
          <w:marBottom w:val="0"/>
          <w:divBdr>
            <w:top w:val="none" w:sz="0" w:space="0" w:color="auto"/>
            <w:left w:val="none" w:sz="0" w:space="0" w:color="auto"/>
            <w:bottom w:val="none" w:sz="0" w:space="0" w:color="auto"/>
            <w:right w:val="none" w:sz="0" w:space="0" w:color="auto"/>
          </w:divBdr>
        </w:div>
        <w:div w:id="1094396831">
          <w:marLeft w:val="0"/>
          <w:marRight w:val="0"/>
          <w:marTop w:val="0"/>
          <w:marBottom w:val="0"/>
          <w:divBdr>
            <w:top w:val="none" w:sz="0" w:space="0" w:color="auto"/>
            <w:left w:val="none" w:sz="0" w:space="0" w:color="auto"/>
            <w:bottom w:val="none" w:sz="0" w:space="0" w:color="auto"/>
            <w:right w:val="none" w:sz="0" w:space="0" w:color="auto"/>
          </w:divBdr>
        </w:div>
        <w:div w:id="1164081557">
          <w:marLeft w:val="0"/>
          <w:marRight w:val="0"/>
          <w:marTop w:val="0"/>
          <w:marBottom w:val="0"/>
          <w:divBdr>
            <w:top w:val="none" w:sz="0" w:space="0" w:color="auto"/>
            <w:left w:val="none" w:sz="0" w:space="0" w:color="auto"/>
            <w:bottom w:val="none" w:sz="0" w:space="0" w:color="auto"/>
            <w:right w:val="none" w:sz="0" w:space="0" w:color="auto"/>
          </w:divBdr>
        </w:div>
        <w:div w:id="794369038">
          <w:marLeft w:val="0"/>
          <w:marRight w:val="0"/>
          <w:marTop w:val="0"/>
          <w:marBottom w:val="0"/>
          <w:divBdr>
            <w:top w:val="none" w:sz="0" w:space="0" w:color="auto"/>
            <w:left w:val="none" w:sz="0" w:space="0" w:color="auto"/>
            <w:bottom w:val="none" w:sz="0" w:space="0" w:color="auto"/>
            <w:right w:val="none" w:sz="0" w:space="0" w:color="auto"/>
          </w:divBdr>
        </w:div>
      </w:divsChild>
    </w:div>
    <w:div w:id="1314065964">
      <w:bodyDiv w:val="1"/>
      <w:marLeft w:val="0"/>
      <w:marRight w:val="0"/>
      <w:marTop w:val="0"/>
      <w:marBottom w:val="0"/>
      <w:divBdr>
        <w:top w:val="none" w:sz="0" w:space="0" w:color="auto"/>
        <w:left w:val="none" w:sz="0" w:space="0" w:color="auto"/>
        <w:bottom w:val="none" w:sz="0" w:space="0" w:color="auto"/>
        <w:right w:val="none" w:sz="0" w:space="0" w:color="auto"/>
      </w:divBdr>
      <w:divsChild>
        <w:div w:id="2629212">
          <w:marLeft w:val="0"/>
          <w:marRight w:val="0"/>
          <w:marTop w:val="0"/>
          <w:marBottom w:val="0"/>
          <w:divBdr>
            <w:top w:val="single" w:sz="6" w:space="0" w:color="000000"/>
            <w:left w:val="single" w:sz="6" w:space="0" w:color="000000"/>
            <w:bottom w:val="single" w:sz="6" w:space="0" w:color="000000"/>
            <w:right w:val="single" w:sz="6" w:space="0" w:color="000000"/>
          </w:divBdr>
          <w:divsChild>
            <w:div w:id="1968462958">
              <w:marLeft w:val="0"/>
              <w:marRight w:val="0"/>
              <w:marTop w:val="0"/>
              <w:marBottom w:val="0"/>
              <w:divBdr>
                <w:top w:val="none" w:sz="0" w:space="0" w:color="auto"/>
                <w:left w:val="none" w:sz="0" w:space="0" w:color="auto"/>
                <w:bottom w:val="none" w:sz="0" w:space="0" w:color="auto"/>
                <w:right w:val="none" w:sz="0" w:space="0" w:color="auto"/>
              </w:divBdr>
              <w:divsChild>
                <w:div w:id="2001351463">
                  <w:marLeft w:val="0"/>
                  <w:marRight w:val="0"/>
                  <w:marTop w:val="0"/>
                  <w:marBottom w:val="0"/>
                  <w:divBdr>
                    <w:top w:val="none" w:sz="0" w:space="0" w:color="auto"/>
                    <w:left w:val="none" w:sz="0" w:space="0" w:color="auto"/>
                    <w:bottom w:val="none" w:sz="0" w:space="0" w:color="auto"/>
                    <w:right w:val="none" w:sz="0" w:space="0" w:color="auto"/>
                  </w:divBdr>
                  <w:divsChild>
                    <w:div w:id="177814538">
                      <w:marLeft w:val="0"/>
                      <w:marRight w:val="0"/>
                      <w:marTop w:val="0"/>
                      <w:marBottom w:val="0"/>
                      <w:divBdr>
                        <w:top w:val="none" w:sz="0" w:space="0" w:color="auto"/>
                        <w:left w:val="none" w:sz="0" w:space="0" w:color="auto"/>
                        <w:bottom w:val="none" w:sz="0" w:space="0" w:color="auto"/>
                        <w:right w:val="none" w:sz="0" w:space="0" w:color="auto"/>
                      </w:divBdr>
                      <w:divsChild>
                        <w:div w:id="451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852040">
      <w:bodyDiv w:val="1"/>
      <w:marLeft w:val="0"/>
      <w:marRight w:val="0"/>
      <w:marTop w:val="0"/>
      <w:marBottom w:val="0"/>
      <w:divBdr>
        <w:top w:val="none" w:sz="0" w:space="0" w:color="auto"/>
        <w:left w:val="none" w:sz="0" w:space="0" w:color="auto"/>
        <w:bottom w:val="none" w:sz="0" w:space="0" w:color="auto"/>
        <w:right w:val="none" w:sz="0" w:space="0" w:color="auto"/>
      </w:divBdr>
    </w:div>
    <w:div w:id="19645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veklury" TargetMode="External"/><Relationship Id="rId13" Type="http://schemas.openxmlformats.org/officeDocument/2006/relationships/hyperlink" Target="https://www.thelancet.com/journals/eclinm/issue/vol54nonull/PIIS2589-5370(22)X001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WHO-2019-nCoV-clinical-202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878/chapter/1-Recommend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ma.europa.eu/en/medicines/human/summaries-opinion/lagevrio"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ema.europa.eu/en/medicines/human/EPAR/paxlovid" TargetMode="External"/><Relationship Id="rId14" Type="http://schemas.openxmlformats.org/officeDocument/2006/relationships/hyperlink" Target="https://doi.org/10.1016/S2213-2600(22)0041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C39D3-58B3-41C1-8AA8-E9572FC9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7806</Words>
  <Characters>44500</Characters>
  <Application>Microsoft Office Word</Application>
  <DocSecurity>0</DocSecurity>
  <Lines>370</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52202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NNDKP</dc:creator>
  <cp:lastModifiedBy>Simin Aysel Florescu</cp:lastModifiedBy>
  <cp:revision>2</cp:revision>
  <cp:lastPrinted>2023-04-04T11:40:00Z</cp:lastPrinted>
  <dcterms:created xsi:type="dcterms:W3CDTF">2023-05-23T07:20:00Z</dcterms:created>
  <dcterms:modified xsi:type="dcterms:W3CDTF">2023-05-23T07:20:00Z</dcterms:modified>
</cp:coreProperties>
</file>