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1A10E" w14:textId="77777777" w:rsidR="00255292" w:rsidRPr="00F73AB8" w:rsidRDefault="00255292" w:rsidP="00983417">
      <w:pPr>
        <w:pStyle w:val="Title"/>
        <w:spacing w:after="120" w:line="240" w:lineRule="auto"/>
        <w:jc w:val="left"/>
        <w:rPr>
          <w:sz w:val="24"/>
          <w:szCs w:val="24"/>
        </w:rPr>
      </w:pPr>
    </w:p>
    <w:p w14:paraId="694C825B" w14:textId="77777777" w:rsidR="00255292" w:rsidRPr="00F73AB8" w:rsidRDefault="00255292" w:rsidP="008838DB">
      <w:pPr>
        <w:pStyle w:val="Title"/>
        <w:spacing w:after="120" w:line="240" w:lineRule="auto"/>
        <w:rPr>
          <w:sz w:val="24"/>
          <w:szCs w:val="24"/>
        </w:rPr>
      </w:pPr>
      <w:r w:rsidRPr="00F73AB8">
        <w:rPr>
          <w:sz w:val="24"/>
          <w:szCs w:val="24"/>
        </w:rPr>
        <w:t>NOTĂ DE FUNDAMENTARE</w:t>
      </w:r>
    </w:p>
    <w:p w14:paraId="3731C8F5" w14:textId="77777777" w:rsidR="00255292" w:rsidRPr="00F73AB8" w:rsidRDefault="00255292" w:rsidP="00983417">
      <w:pPr>
        <w:pStyle w:val="Title"/>
        <w:spacing w:after="120" w:line="240" w:lineRule="auto"/>
        <w:rPr>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255292" w:rsidRPr="00F73AB8" w14:paraId="574C2C63" w14:textId="77777777" w:rsidTr="00223491">
        <w:tc>
          <w:tcPr>
            <w:tcW w:w="10490" w:type="dxa"/>
          </w:tcPr>
          <w:p w14:paraId="23C8A51D" w14:textId="77777777" w:rsidR="00255292" w:rsidRPr="00F73AB8" w:rsidRDefault="00255292" w:rsidP="000E4B24">
            <w:pPr>
              <w:jc w:val="center"/>
              <w:rPr>
                <w:b/>
                <w:lang w:eastAsia="ro-RO"/>
              </w:rPr>
            </w:pPr>
            <w:r w:rsidRPr="00F73AB8">
              <w:rPr>
                <w:b/>
                <w:lang w:eastAsia="ro-RO"/>
              </w:rPr>
              <w:t>Secțiunea 1</w:t>
            </w:r>
          </w:p>
          <w:p w14:paraId="6372FEF5" w14:textId="77777777" w:rsidR="00255292" w:rsidRDefault="00255292" w:rsidP="000E4B24">
            <w:pPr>
              <w:jc w:val="center"/>
              <w:rPr>
                <w:b/>
                <w:lang w:eastAsia="ro-RO"/>
              </w:rPr>
            </w:pPr>
            <w:r w:rsidRPr="00F73AB8">
              <w:rPr>
                <w:b/>
                <w:lang w:eastAsia="ro-RO"/>
              </w:rPr>
              <w:t>Titlul proiectului de act normativ</w:t>
            </w:r>
          </w:p>
          <w:p w14:paraId="4DABEA66" w14:textId="7AC5B07E" w:rsidR="00255292" w:rsidRPr="00F73AB8" w:rsidRDefault="007431BB" w:rsidP="00147912">
            <w:pPr>
              <w:keepNext/>
              <w:keepLines/>
              <w:spacing w:after="120"/>
              <w:jc w:val="center"/>
              <w:outlineLvl w:val="0"/>
              <w:rPr>
                <w:b/>
                <w:lang w:eastAsia="ro-RO"/>
              </w:rPr>
            </w:pPr>
            <w:r w:rsidRPr="007431BB">
              <w:rPr>
                <w:rFonts w:eastAsia="MS Mincho"/>
                <w:b/>
                <w:bCs/>
              </w:rPr>
              <w:t xml:space="preserve">Hotărâre de Guvern </w:t>
            </w:r>
            <w:r w:rsidR="000E4553" w:rsidRPr="000E4553">
              <w:rPr>
                <w:rFonts w:eastAsia="MS Mincho"/>
                <w:b/>
                <w:bCs/>
              </w:rPr>
              <w:t>privind aprobarea Programului național de dotare cu echipamente a cabinetelor medicilor de familie sau asocieri de cabinete de asistență medicală, a Programului național de dotare cu echipamente a cabinetelor de planificare familială, a Programului național de dotare cu echipamente a centrelor comunitare integrate, a Programului național de dotare cu ambulanțe de terapie intensivă nou-născuți și a Programului național de dotare cu unități mobile de screening pentru cancer</w:t>
            </w:r>
          </w:p>
        </w:tc>
      </w:tr>
    </w:tbl>
    <w:p w14:paraId="204FA9EF" w14:textId="77777777" w:rsidR="00255292" w:rsidRPr="00F73AB8" w:rsidRDefault="00255292" w:rsidP="000E4B24">
      <w:pPr>
        <w:spacing w:after="120"/>
        <w:jc w:val="center"/>
        <w:rPr>
          <w:b/>
          <w:lang w:eastAsia="ro-RO"/>
        </w:rPr>
      </w:pPr>
    </w:p>
    <w:p w14:paraId="2B36F2BE" w14:textId="77777777" w:rsidR="00255292" w:rsidRPr="00F73AB8" w:rsidRDefault="00255292" w:rsidP="000E4B24">
      <w:pPr>
        <w:spacing w:after="120"/>
        <w:ind w:firstLine="720"/>
        <w:jc w:val="center"/>
        <w:rPr>
          <w:b/>
          <w:lang w:eastAsia="ro-RO"/>
        </w:rPr>
      </w:pPr>
      <w:r w:rsidRPr="00F73AB8">
        <w:rPr>
          <w:b/>
          <w:lang w:eastAsia="ro-RO"/>
        </w:rPr>
        <w:t>Secțiunea a 2-a</w:t>
      </w:r>
    </w:p>
    <w:p w14:paraId="760B3059" w14:textId="77777777" w:rsidR="00255292" w:rsidRPr="00F73AB8" w:rsidRDefault="00255292" w:rsidP="000E4B24">
      <w:pPr>
        <w:spacing w:after="120"/>
        <w:ind w:firstLine="720"/>
        <w:jc w:val="center"/>
        <w:rPr>
          <w:b/>
          <w:lang w:eastAsia="ro-RO"/>
        </w:rPr>
      </w:pPr>
      <w:r w:rsidRPr="00F73AB8">
        <w:rPr>
          <w:b/>
          <w:lang w:eastAsia="ro-RO"/>
        </w:rPr>
        <w:t>Motivul emiterii actului normativ</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255292" w:rsidRPr="00590335" w14:paraId="64B0B12C" w14:textId="77777777" w:rsidTr="0068185F">
        <w:trPr>
          <w:trHeight w:val="841"/>
        </w:trPr>
        <w:tc>
          <w:tcPr>
            <w:tcW w:w="10490" w:type="dxa"/>
            <w:tcBorders>
              <w:left w:val="single" w:sz="4" w:space="0" w:color="000000"/>
              <w:right w:val="single" w:sz="4" w:space="0" w:color="000000"/>
            </w:tcBorders>
            <w:shd w:val="clear" w:color="auto" w:fill="auto"/>
          </w:tcPr>
          <w:p w14:paraId="3CC3DA7B" w14:textId="078A1D49" w:rsidR="00A55D33" w:rsidRPr="00590335" w:rsidRDefault="00255292" w:rsidP="00A55D33">
            <w:pPr>
              <w:spacing w:line="276" w:lineRule="auto"/>
              <w:jc w:val="both"/>
              <w:rPr>
                <w:sz w:val="22"/>
                <w:szCs w:val="22"/>
              </w:rPr>
            </w:pPr>
            <w:r w:rsidRPr="00590335">
              <w:rPr>
                <w:b/>
                <w:sz w:val="22"/>
                <w:szCs w:val="22"/>
                <w:lang w:eastAsia="ro-RO"/>
              </w:rPr>
              <w:t>2.1 Sursa proiectului de act normativ</w:t>
            </w:r>
            <w:r w:rsidR="0068185F" w:rsidRPr="00590335">
              <w:rPr>
                <w:sz w:val="22"/>
                <w:szCs w:val="22"/>
                <w:lang w:eastAsia="ro-RO"/>
              </w:rPr>
              <w:t xml:space="preserve">: </w:t>
            </w:r>
            <w:r w:rsidR="00A55D33" w:rsidRPr="00590335">
              <w:rPr>
                <w:sz w:val="22"/>
                <w:szCs w:val="22"/>
              </w:rPr>
              <w:t xml:space="preserve">Prezentul act normativ este inițiat de Ministerul </w:t>
            </w:r>
            <w:r w:rsidR="00307CD4">
              <w:rPr>
                <w:sz w:val="22"/>
                <w:szCs w:val="22"/>
              </w:rPr>
              <w:t xml:space="preserve">Sănătății </w:t>
            </w:r>
            <w:r w:rsidR="00A55D33" w:rsidRPr="00590335">
              <w:rPr>
                <w:sz w:val="22"/>
                <w:szCs w:val="22"/>
              </w:rPr>
              <w:t xml:space="preserve">în vederea îndeplinirii </w:t>
            </w:r>
            <w:r w:rsidR="00307CD4">
              <w:rPr>
                <w:sz w:val="22"/>
                <w:szCs w:val="22"/>
              </w:rPr>
              <w:t>țintelor și jaloanelor din cadrul</w:t>
            </w:r>
            <w:r w:rsidR="00A55D33" w:rsidRPr="00590335">
              <w:rPr>
                <w:sz w:val="22"/>
                <w:szCs w:val="22"/>
              </w:rPr>
              <w:t xml:space="preserve"> </w:t>
            </w:r>
            <w:r w:rsidR="00307CD4">
              <w:rPr>
                <w:sz w:val="22"/>
                <w:szCs w:val="22"/>
              </w:rPr>
              <w:t>Componentei 12</w:t>
            </w:r>
            <w:r w:rsidR="00A55D33" w:rsidRPr="00590335">
              <w:rPr>
                <w:sz w:val="22"/>
                <w:szCs w:val="22"/>
              </w:rPr>
              <w:t xml:space="preserve"> – </w:t>
            </w:r>
            <w:r w:rsidR="00307CD4">
              <w:rPr>
                <w:sz w:val="22"/>
                <w:szCs w:val="22"/>
              </w:rPr>
              <w:t>Sănătate</w:t>
            </w:r>
            <w:r w:rsidR="00A55D33" w:rsidRPr="00590335">
              <w:rPr>
                <w:sz w:val="22"/>
                <w:szCs w:val="22"/>
              </w:rPr>
              <w:t xml:space="preserve"> din anexa Deciziei de punere în aplicare a Consiliului din 3 noiembrie 2021 de aprobare a evaluării Planului de Redresare și Reziliență al României.</w:t>
            </w:r>
          </w:p>
          <w:p w14:paraId="5EB8A02D" w14:textId="0D791CED" w:rsidR="00B56D2F" w:rsidRDefault="00255292" w:rsidP="008838DB">
            <w:pPr>
              <w:autoSpaceDE w:val="0"/>
              <w:autoSpaceDN w:val="0"/>
              <w:adjustRightInd w:val="0"/>
              <w:spacing w:after="120"/>
              <w:jc w:val="both"/>
              <w:rPr>
                <w:b/>
                <w:sz w:val="22"/>
                <w:szCs w:val="22"/>
                <w:lang w:eastAsia="ro-RO"/>
              </w:rPr>
            </w:pPr>
            <w:r w:rsidRPr="00590335">
              <w:rPr>
                <w:b/>
                <w:sz w:val="22"/>
                <w:szCs w:val="22"/>
                <w:lang w:eastAsia="ro-RO"/>
              </w:rPr>
              <w:t>2.2 Descrierea situației actuale</w:t>
            </w:r>
          </w:p>
          <w:p w14:paraId="0E3EE46E" w14:textId="35C1D820" w:rsidR="00024F7F" w:rsidRPr="00024F7F" w:rsidRDefault="00024F7F" w:rsidP="00024F7F">
            <w:pPr>
              <w:autoSpaceDE w:val="0"/>
              <w:autoSpaceDN w:val="0"/>
              <w:adjustRightInd w:val="0"/>
              <w:spacing w:after="120"/>
              <w:jc w:val="both"/>
              <w:rPr>
                <w:bCs/>
                <w:sz w:val="22"/>
                <w:szCs w:val="22"/>
                <w:lang w:eastAsia="ro-RO"/>
              </w:rPr>
            </w:pPr>
            <w:r w:rsidRPr="00024F7F">
              <w:rPr>
                <w:bCs/>
                <w:sz w:val="22"/>
                <w:szCs w:val="22"/>
                <w:lang w:eastAsia="ro-RO"/>
              </w:rPr>
              <w:t>România se confruntă cu provocări considerabile în ceea ce privește asigurarea accesului la asistență medicală. În total, aproximativ 11% din populație rămâne neasigurată și are acces doar la un pachet restrâns de servicii. Procentul de populație care beneficiază de o formă de asigurare de sănătate a scăzut, cu un decalaj semnificativ între mediul urban și cel rural. O mare parte a lucrătorilor care desfășoară o activitate independentă în agricultură și a populației rome din mediul rural nu beneficiază de o asigurare de sănătate. În ceea ce privește nevoile medicale</w:t>
            </w:r>
            <w:r>
              <w:rPr>
                <w:bCs/>
                <w:sz w:val="22"/>
                <w:szCs w:val="22"/>
                <w:lang w:eastAsia="ro-RO"/>
              </w:rPr>
              <w:t xml:space="preserve"> </w:t>
            </w:r>
            <w:r w:rsidRPr="00024F7F">
              <w:rPr>
                <w:bCs/>
                <w:sz w:val="22"/>
                <w:szCs w:val="22"/>
                <w:lang w:eastAsia="ro-RO"/>
              </w:rPr>
              <w:t>(8%) și grupurile cu cele mai mari venituri (2,3%). Procentajul populației rurale asigurate a scăzut la 65,6% în 2016, în comparație cu 66,3% în 2015 și cu 75,8% în 2014. În cazul pensionarilor, nivelul nevoilor medicale nesatisfăcute este de două ori mai ridicat decât cel al populației generale.</w:t>
            </w:r>
            <w:r>
              <w:rPr>
                <w:bCs/>
                <w:sz w:val="22"/>
                <w:szCs w:val="22"/>
                <w:lang w:eastAsia="ro-RO"/>
              </w:rPr>
              <w:t xml:space="preserve"> </w:t>
            </w:r>
            <w:r w:rsidRPr="00024F7F">
              <w:rPr>
                <w:bCs/>
                <w:sz w:val="22"/>
                <w:szCs w:val="22"/>
                <w:lang w:eastAsia="ro-RO"/>
              </w:rPr>
              <w:t>Rata nevoilor de asistență medicală nesatisfăcute, din cauza distanței mari până la o unitate medicală, a fost a treia ca mărime din UE, în 2017. Dezechilibrele teritoriale în furnizarea serviciilor de asistență medicală sunt mari și se amplifică.</w:t>
            </w:r>
          </w:p>
          <w:p w14:paraId="034CD287" w14:textId="0678B84B" w:rsidR="00024F7F" w:rsidRDefault="00024F7F" w:rsidP="00024F7F">
            <w:pPr>
              <w:autoSpaceDE w:val="0"/>
              <w:autoSpaceDN w:val="0"/>
              <w:adjustRightInd w:val="0"/>
              <w:spacing w:after="120"/>
              <w:jc w:val="both"/>
              <w:rPr>
                <w:bCs/>
                <w:sz w:val="22"/>
                <w:szCs w:val="22"/>
                <w:lang w:eastAsia="ro-RO"/>
              </w:rPr>
            </w:pPr>
            <w:r w:rsidRPr="00024F7F">
              <w:rPr>
                <w:bCs/>
                <w:sz w:val="22"/>
                <w:szCs w:val="22"/>
                <w:lang w:eastAsia="ro-RO"/>
              </w:rPr>
              <w:t>Nivelul nevoilor medicale nesatisfăcute este cu aproximativ 28% mai mare în zonele rurale decât în întreaga țară. Rețeaua de medici de familie este, în principal, o rețea de servicii private de asistență medicală, cu stimulente insuficiente pentru medicii din zonele rurale, care migrează către zonele urbane, mai dezvoltate, ceea ce face acoperirea să fie mai redusă în zonele sărace.</w:t>
            </w:r>
          </w:p>
          <w:p w14:paraId="6042BEFB" w14:textId="21F7538E" w:rsidR="00024F7F" w:rsidRPr="00024F7F" w:rsidRDefault="00024F7F" w:rsidP="00024F7F">
            <w:pPr>
              <w:autoSpaceDE w:val="0"/>
              <w:autoSpaceDN w:val="0"/>
              <w:adjustRightInd w:val="0"/>
              <w:spacing w:after="120"/>
              <w:jc w:val="both"/>
              <w:rPr>
                <w:bCs/>
                <w:sz w:val="22"/>
                <w:szCs w:val="22"/>
                <w:lang w:eastAsia="ro-RO"/>
              </w:rPr>
            </w:pPr>
            <w:r w:rsidRPr="00024F7F">
              <w:rPr>
                <w:bCs/>
                <w:sz w:val="22"/>
                <w:szCs w:val="22"/>
                <w:lang w:eastAsia="ro-RO"/>
              </w:rPr>
              <w:t>Serviciile medicale de medicină de familie suferă de un deficit de personal și infrastructură, dar și de o distribuție neuniformă în județe, regiuni, cu precădere între mediul rural și cel urban. Astfel, 328 de comune din România nu au niciun medic de familie, 2,5% din populație nu are niciun medic de familie în comuna de reședință, din 1.414 de localități (comune și orașe) lipsesc</w:t>
            </w:r>
            <w:r>
              <w:rPr>
                <w:bCs/>
                <w:sz w:val="22"/>
                <w:szCs w:val="22"/>
                <w:lang w:eastAsia="ro-RO"/>
              </w:rPr>
              <w:t xml:space="preserve"> </w:t>
            </w:r>
            <w:r w:rsidRPr="00024F7F">
              <w:rPr>
                <w:bCs/>
                <w:sz w:val="22"/>
                <w:szCs w:val="22"/>
                <w:lang w:eastAsia="ro-RO"/>
              </w:rPr>
              <w:t>2.187 de medici de familie. Doar 1.496 de localități (47%) au suficienți medici de familie, iar 271 de localități au mai mulți medici de familie decât este necesar pentru populația existentă3. Cel mai mare excedent este în municipiul București, urmat de alte centre universitare (ex: Craiova, Cluj, Timișoara și Iași).</w:t>
            </w:r>
          </w:p>
          <w:p w14:paraId="5583FAF7" w14:textId="77777777" w:rsidR="00024F7F" w:rsidRPr="00024F7F" w:rsidRDefault="00024F7F" w:rsidP="00024F7F">
            <w:pPr>
              <w:autoSpaceDE w:val="0"/>
              <w:autoSpaceDN w:val="0"/>
              <w:adjustRightInd w:val="0"/>
              <w:spacing w:after="120"/>
              <w:jc w:val="both"/>
              <w:rPr>
                <w:bCs/>
                <w:sz w:val="22"/>
                <w:szCs w:val="22"/>
                <w:lang w:eastAsia="ro-RO"/>
              </w:rPr>
            </w:pPr>
            <w:r w:rsidRPr="00024F7F">
              <w:rPr>
                <w:bCs/>
                <w:sz w:val="22"/>
                <w:szCs w:val="22"/>
                <w:lang w:eastAsia="ro-RO"/>
              </w:rPr>
              <w:t>Cheltuielile cu asistența medicală preventivă sunt cu mult sub media UE (1,8%), față de 3,1%. Cheltuielile cu asistența medicală sunt în continuare orientate în mod disproporționat către serviciile medicale spitalicești, în pofida reducerii numărului de externări din spitale. Printre ineficiențele conexe se numără utilizarea ridicată a paturilor de spital, utilizarea scăzută a chirurgiei de zi și lipsa unei integrări eficace a furnizării serviciilor de asistență medicală.</w:t>
            </w:r>
          </w:p>
          <w:p w14:paraId="7D9581D4" w14:textId="77777777" w:rsidR="00024F7F" w:rsidRPr="00024F7F" w:rsidRDefault="00024F7F" w:rsidP="00024F7F">
            <w:pPr>
              <w:autoSpaceDE w:val="0"/>
              <w:autoSpaceDN w:val="0"/>
              <w:adjustRightInd w:val="0"/>
              <w:spacing w:after="120"/>
              <w:jc w:val="both"/>
              <w:rPr>
                <w:bCs/>
                <w:sz w:val="22"/>
                <w:szCs w:val="22"/>
                <w:lang w:eastAsia="ro-RO"/>
              </w:rPr>
            </w:pPr>
            <w:r w:rsidRPr="00024F7F">
              <w:rPr>
                <w:bCs/>
                <w:sz w:val="22"/>
                <w:szCs w:val="22"/>
                <w:lang w:eastAsia="ro-RO"/>
              </w:rPr>
              <w:t>Îmbunătățirea asistenței medicale comunitare, deși foarte necesară, prezintă întârzieri. Realizarea centrelor de asistență medicală comunitară care oferă îngrijiri integrate a suferit întârzieri suplimentare. Îmbunătățirea asistenței medicale comunitare ar putea reduce nivelul actual ridicat al spitalizărilor evitabile pentru „bolile care se pretează la asistența medicală ambulatorie”, cum ar fi diabetul și hipertensiunea.</w:t>
            </w:r>
          </w:p>
          <w:p w14:paraId="7A5767FE" w14:textId="33DE1D71" w:rsidR="00024F7F" w:rsidRDefault="00024F7F" w:rsidP="00024F7F">
            <w:pPr>
              <w:autoSpaceDE w:val="0"/>
              <w:autoSpaceDN w:val="0"/>
              <w:adjustRightInd w:val="0"/>
              <w:spacing w:after="120"/>
              <w:jc w:val="both"/>
              <w:rPr>
                <w:bCs/>
                <w:sz w:val="22"/>
                <w:szCs w:val="22"/>
                <w:lang w:eastAsia="ro-RO"/>
              </w:rPr>
            </w:pPr>
            <w:r w:rsidRPr="00024F7F">
              <w:rPr>
                <w:bCs/>
                <w:sz w:val="22"/>
                <w:szCs w:val="22"/>
                <w:lang w:eastAsia="ro-RO"/>
              </w:rPr>
              <w:lastRenderedPageBreak/>
              <w:t>În rândul populației Roma, doar 50% din cetățenii în vârstă de peste 16 ani beneficiază de asigurare medicală în sistemul asigurărilor sociale de stat1. Asigurarea accesului echitabil la serviciile medicale preventive și curative este încă deficitară.</w:t>
            </w:r>
          </w:p>
          <w:p w14:paraId="6B1C387D" w14:textId="4284B33A" w:rsidR="00024F7F" w:rsidRDefault="00024F7F" w:rsidP="00024F7F">
            <w:pPr>
              <w:autoSpaceDE w:val="0"/>
              <w:autoSpaceDN w:val="0"/>
              <w:adjustRightInd w:val="0"/>
              <w:spacing w:after="120"/>
              <w:jc w:val="both"/>
              <w:rPr>
                <w:bCs/>
                <w:sz w:val="22"/>
                <w:szCs w:val="22"/>
                <w:lang w:eastAsia="ro-RO"/>
              </w:rPr>
            </w:pPr>
            <w:r w:rsidRPr="00024F7F">
              <w:rPr>
                <w:bCs/>
                <w:sz w:val="22"/>
                <w:szCs w:val="22"/>
                <w:lang w:eastAsia="ro-RO"/>
              </w:rPr>
              <w:t>Ratele mortalității evitabile prin prevenție și ale mortalității prin cauze tratabile sunt printre cele mai ridicate din UE. Numărul deceselor cauzate de cancer a crescut, în timp ce bolile cardiovasculare constituie cauza principală a deceselor. Boala cardiacă ischemică și accidentul vascular cerebral sunt principalele cauze de deces, reprezentând împreună peste 550 de decese la 100 000 de locuitori, în 2016. Rata mortalității cauzate de boala cardiacă ischemică este de aproape trei ori mai mare în România decât în UE în ansamblu. Cancerul pulmonar reprezintă cea mai frecventă cauză de deces cauzat de cancer, rata mortalității crescând cu aproape 14 % din anul 2000, în principal din cauza ratelor ridicate ale fumatului. În ultimii ani, au crescut, de asemenea, ratele mortalității legate de alte tipuri de cancer, în special pentru cazurile de cancer colo-rectal și de cancer de sân.</w:t>
            </w:r>
          </w:p>
          <w:p w14:paraId="68BFCF5C" w14:textId="12D293F1" w:rsidR="00A02068" w:rsidRDefault="00255292" w:rsidP="00A02068">
            <w:pPr>
              <w:autoSpaceDE w:val="0"/>
              <w:autoSpaceDN w:val="0"/>
              <w:adjustRightInd w:val="0"/>
              <w:spacing w:after="120"/>
              <w:jc w:val="both"/>
              <w:rPr>
                <w:b/>
                <w:sz w:val="22"/>
                <w:szCs w:val="22"/>
                <w:lang w:eastAsia="ro-RO"/>
              </w:rPr>
            </w:pPr>
            <w:r w:rsidRPr="00590335">
              <w:rPr>
                <w:b/>
                <w:sz w:val="22"/>
                <w:szCs w:val="22"/>
                <w:lang w:eastAsia="ro-RO"/>
              </w:rPr>
              <w:t>2.3 Schimbări preconizate</w:t>
            </w:r>
          </w:p>
          <w:p w14:paraId="61B0E92D" w14:textId="0955BE9C" w:rsidR="00024F7F" w:rsidRPr="0027748F" w:rsidRDefault="00024F7F" w:rsidP="00024F7F">
            <w:pPr>
              <w:autoSpaceDE w:val="0"/>
              <w:autoSpaceDN w:val="0"/>
              <w:adjustRightInd w:val="0"/>
              <w:spacing w:after="120"/>
              <w:jc w:val="both"/>
              <w:rPr>
                <w:bCs/>
                <w:sz w:val="22"/>
                <w:szCs w:val="22"/>
                <w:lang w:eastAsia="ro-RO"/>
              </w:rPr>
            </w:pPr>
            <w:r w:rsidRPr="0027748F">
              <w:rPr>
                <w:bCs/>
                <w:sz w:val="22"/>
                <w:szCs w:val="22"/>
                <w:lang w:eastAsia="ro-RO"/>
              </w:rPr>
              <w:t>Sectorul sanitar din România se bazează pe o infrastructură concepută acum 50-60 ani, când nevoia de servicii de sănătate era diferită față de realitățile de astăzi. Una dintre problemele des întâlnite în rețeaua de spitale este fragmentarea-spitalele pavilionare, ceea ce creează dificultăți în ceea ce privește organizarea fluxurilor și transportul pacienților. Clădirile vechi (unele chiar peste 100 ani vechime) nu permit integrarea optimă a circuitelor intra spitalicești, ridică frecvent dificultăți majore în adoptarea de noi tehnologii din cauza limitărilor fizice intrinseci ale clădirilor și nu dispun de facilități pentru un acces fizic (ex. pentru persoanele cu dizabilități). Astfel, adaptarea infrastructurii la nevoile de servicii de sănătate curente (boli netransmisibile, acumularea de probleme de sănătate, complexe cu comorbidități, existența unor tehnologii complexe, etc.) este în multe cazuri imposibilă sau mult mai costisitoare decât construcția unor clădiri noi în care sa se transfere activitatea curentă a unor spitale. În plus, mai ales în spitalele vechi cu circuite deficitare, controlul infecțiilor nosocomiale este deficitar, cu impact asupra siguranței pacientului si cheltuieli evitabile. Dotarea cu echipamentele necesare este încă departe de standardele din țările europene avansate, si deseori distribuția echipamentelor în profil teritorial este insuficient echilibrată și calibrată în funcție de nevoi. Dotarea cu echipamente necesare este încă departe de standardele din țările europene avansate și, deseori, distribuția teritorială și utilizarea echipamentelor medicale în unitățile publice nu răspunde profilului stării de sănătate local și nici nevoilor de sănătate ale populației.</w:t>
            </w:r>
          </w:p>
          <w:p w14:paraId="397E2A55" w14:textId="2587BD78" w:rsidR="00024F7F" w:rsidRPr="0027748F" w:rsidRDefault="00024F7F" w:rsidP="00024F7F">
            <w:pPr>
              <w:autoSpaceDE w:val="0"/>
              <w:autoSpaceDN w:val="0"/>
              <w:adjustRightInd w:val="0"/>
              <w:spacing w:after="120"/>
              <w:jc w:val="both"/>
              <w:rPr>
                <w:bCs/>
                <w:sz w:val="22"/>
                <w:szCs w:val="22"/>
                <w:lang w:eastAsia="ro-RO"/>
              </w:rPr>
            </w:pPr>
            <w:r w:rsidRPr="0027748F">
              <w:rPr>
                <w:bCs/>
                <w:sz w:val="22"/>
                <w:szCs w:val="22"/>
                <w:lang w:eastAsia="ro-RO"/>
              </w:rPr>
              <w:t>Reabilitarea, modernizarea și dotarea a 3.000 de (asocieri de) cabinete de asistență medicală primară (medici de familie) cu facilități de screening, diagnostic precoce și monitorizare a pacienților cronici, prioritizând cabinetele din mediul rural și din urbanul mic (inclusiv zone marginalizate/defavorizate și inclusiv pentru zonele defavorizate cu populație majoritar romă sau comunități rome, după caz). Dotarea va cuprinde: aparatură de laborator de tip ”point of care”, echipamente medicale de tipul: electrocardiograf, ecograf, mobilier medical și instrumentar medical etc; vor fi alocate, de asemenea, fonduri pentru renovarea clădirii cu scopul conformării la normele igienico-sanitare și al creșterii eficienței energetice.</w:t>
            </w:r>
          </w:p>
          <w:p w14:paraId="52E0610E" w14:textId="77777777" w:rsidR="00024F7F" w:rsidRPr="0027748F" w:rsidRDefault="00024F7F" w:rsidP="00024F7F">
            <w:pPr>
              <w:autoSpaceDE w:val="0"/>
              <w:autoSpaceDN w:val="0"/>
              <w:adjustRightInd w:val="0"/>
              <w:spacing w:after="120"/>
              <w:jc w:val="both"/>
              <w:rPr>
                <w:bCs/>
                <w:sz w:val="22"/>
                <w:szCs w:val="22"/>
                <w:lang w:eastAsia="ro-RO"/>
              </w:rPr>
            </w:pPr>
            <w:r w:rsidRPr="0027748F">
              <w:rPr>
                <w:bCs/>
                <w:sz w:val="22"/>
                <w:szCs w:val="22"/>
                <w:lang w:eastAsia="ro-RO"/>
              </w:rPr>
              <w:t>Finanțarea va fi acordată cu prioritate cabinetelor medicale, astfel:</w:t>
            </w:r>
          </w:p>
          <w:p w14:paraId="04F8407D" w14:textId="77777777" w:rsidR="00024F7F" w:rsidRPr="0027748F" w:rsidRDefault="00024F7F" w:rsidP="00024F7F">
            <w:pPr>
              <w:autoSpaceDE w:val="0"/>
              <w:autoSpaceDN w:val="0"/>
              <w:adjustRightInd w:val="0"/>
              <w:spacing w:after="120"/>
              <w:jc w:val="both"/>
              <w:rPr>
                <w:bCs/>
                <w:sz w:val="22"/>
                <w:szCs w:val="22"/>
                <w:lang w:eastAsia="ro-RO"/>
              </w:rPr>
            </w:pPr>
            <w:r w:rsidRPr="0027748F">
              <w:rPr>
                <w:bCs/>
                <w:sz w:val="22"/>
                <w:szCs w:val="22"/>
                <w:lang w:eastAsia="ro-RO"/>
              </w:rPr>
              <w:t>●</w:t>
            </w:r>
            <w:r w:rsidRPr="0027748F">
              <w:rPr>
                <w:bCs/>
                <w:sz w:val="22"/>
                <w:szCs w:val="22"/>
                <w:lang w:eastAsia="ro-RO"/>
              </w:rPr>
              <w:tab/>
              <w:t>Vor avea prioritate cabinetele din mediul rural;</w:t>
            </w:r>
          </w:p>
          <w:p w14:paraId="42CEAC30" w14:textId="77777777" w:rsidR="00024F7F" w:rsidRPr="0027748F" w:rsidRDefault="00024F7F" w:rsidP="00024F7F">
            <w:pPr>
              <w:autoSpaceDE w:val="0"/>
              <w:autoSpaceDN w:val="0"/>
              <w:adjustRightInd w:val="0"/>
              <w:spacing w:after="120"/>
              <w:jc w:val="both"/>
              <w:rPr>
                <w:bCs/>
                <w:sz w:val="22"/>
                <w:szCs w:val="22"/>
                <w:lang w:eastAsia="ro-RO"/>
              </w:rPr>
            </w:pPr>
            <w:r w:rsidRPr="0027748F">
              <w:rPr>
                <w:bCs/>
                <w:sz w:val="22"/>
                <w:szCs w:val="22"/>
                <w:lang w:eastAsia="ro-RO"/>
              </w:rPr>
              <w:t>●</w:t>
            </w:r>
            <w:r w:rsidRPr="0027748F">
              <w:rPr>
                <w:bCs/>
                <w:sz w:val="22"/>
                <w:szCs w:val="22"/>
                <w:lang w:eastAsia="ro-RO"/>
              </w:rPr>
              <w:tab/>
              <w:t>Pentru cabinetele din mediul urban, vor fi prioritizate cele din orașele de rang III (cf. legii 351/2001, actualizată), urmate de cele de rang II și de cele de rang I;</w:t>
            </w:r>
          </w:p>
          <w:p w14:paraId="6F35B6BB" w14:textId="418003D9" w:rsidR="00024F7F" w:rsidRPr="0027748F" w:rsidRDefault="00024F7F" w:rsidP="00024F7F">
            <w:pPr>
              <w:autoSpaceDE w:val="0"/>
              <w:autoSpaceDN w:val="0"/>
              <w:adjustRightInd w:val="0"/>
              <w:spacing w:after="120"/>
              <w:jc w:val="both"/>
              <w:rPr>
                <w:bCs/>
                <w:sz w:val="22"/>
                <w:szCs w:val="22"/>
                <w:lang w:eastAsia="ro-RO"/>
              </w:rPr>
            </w:pPr>
            <w:r w:rsidRPr="0027748F">
              <w:rPr>
                <w:bCs/>
                <w:sz w:val="22"/>
                <w:szCs w:val="22"/>
                <w:lang w:eastAsia="ro-RO"/>
              </w:rPr>
              <w:t>●</w:t>
            </w:r>
            <w:r w:rsidRPr="0027748F">
              <w:rPr>
                <w:bCs/>
                <w:sz w:val="22"/>
                <w:szCs w:val="22"/>
                <w:lang w:eastAsia="ro-RO"/>
              </w:rPr>
              <w:tab/>
              <w:t>Pentru cabinetele din mediul urban (rang II și I) vor putea accesa finanțare medicii de familie organizați într-o formă asociativă (cabinete medicale grupate; cabinete medicale asociate; societate civila medicală), care au sediul în aceeași clădire.</w:t>
            </w:r>
          </w:p>
          <w:p w14:paraId="112166CD" w14:textId="1038794F" w:rsidR="00024F7F" w:rsidRPr="0027748F" w:rsidRDefault="00024F7F" w:rsidP="00024F7F">
            <w:pPr>
              <w:autoSpaceDE w:val="0"/>
              <w:autoSpaceDN w:val="0"/>
              <w:adjustRightInd w:val="0"/>
              <w:spacing w:after="120"/>
              <w:jc w:val="both"/>
              <w:rPr>
                <w:bCs/>
                <w:sz w:val="22"/>
                <w:szCs w:val="22"/>
                <w:lang w:eastAsia="ro-RO"/>
              </w:rPr>
            </w:pPr>
            <w:r w:rsidRPr="0027748F">
              <w:rPr>
                <w:bCs/>
                <w:sz w:val="22"/>
                <w:szCs w:val="22"/>
                <w:lang w:eastAsia="ro-RO"/>
              </w:rPr>
              <w:t>Dezvoltarea de caravane medicale care vor putea derula activități de screening pentru cancerul mamar și pentru cancerul cervical în zonele cu acces limitat la servicii de asistență medicală specializată, inclusiv pentru zonele defavorizate cu populație majoritar romă sau comunități rome, după caz. Caravanele de screening (unități mobile) vor fi alocate centrelor regionale care derulează în acest moment activități de screening pentru cancerul cervical și care au deja expertiză în astfel de activități (10 caravane în 8 centre). Caravanele medicale achiziționate vor utiliza cea mai bună tehnologie disponibilă din punct de vedere al mediului.</w:t>
            </w:r>
          </w:p>
          <w:p w14:paraId="61927415" w14:textId="4A7C4629" w:rsidR="00024F7F" w:rsidRPr="0027748F" w:rsidRDefault="00024F7F" w:rsidP="00024F7F">
            <w:pPr>
              <w:autoSpaceDE w:val="0"/>
              <w:autoSpaceDN w:val="0"/>
              <w:adjustRightInd w:val="0"/>
              <w:spacing w:after="120"/>
              <w:jc w:val="both"/>
              <w:rPr>
                <w:bCs/>
                <w:sz w:val="22"/>
                <w:szCs w:val="22"/>
                <w:lang w:eastAsia="ro-RO"/>
              </w:rPr>
            </w:pPr>
          </w:p>
          <w:p w14:paraId="1C9C6864" w14:textId="1F9122EC" w:rsidR="00024F7F" w:rsidRPr="0027748F" w:rsidRDefault="00024F7F" w:rsidP="00024F7F">
            <w:pPr>
              <w:autoSpaceDE w:val="0"/>
              <w:autoSpaceDN w:val="0"/>
              <w:adjustRightInd w:val="0"/>
              <w:spacing w:after="120"/>
              <w:jc w:val="both"/>
              <w:rPr>
                <w:bCs/>
                <w:sz w:val="22"/>
                <w:szCs w:val="22"/>
                <w:lang w:eastAsia="ro-RO"/>
              </w:rPr>
            </w:pPr>
            <w:r w:rsidRPr="0027748F">
              <w:rPr>
                <w:bCs/>
                <w:sz w:val="22"/>
                <w:szCs w:val="22"/>
                <w:lang w:eastAsia="ro-RO"/>
              </w:rPr>
              <w:t>Centrele comunitare integrate se organizează și funcționează conform cadrului normativ existent, care urmează a fi completat și actualizat până în 10.2021. Ele fac parte din corpul programelor comunitare de asistență medicală coordonate de Ministerul Sănătății, cu scopul principal de a spori accesul la servicii medicale de calitate pentru populație și, în special, pentru grupurile vulnerabile. Clădirile noi vor respecta criteriile de eficiență energetică. Toate clădirile nou construite vor respecta solicitarea privind necesarul de energie primară (PED) cu cel puțin 20% mai mic decât cerința pentru clădirile al căror consum de energie este aproape zero (NZEB), conform prevederilor naționale, care vor fi asigurate prin certificate de performanță energetică. Se estimează că 70% din costurile pentru desfășurarea acestei investiții vor fi legate de construcții și renovări (care vor fi efectuate cu respectarea standardului NZEB +). Din funcțiunile propuse pentru centrele comunitare integrate vor face parte: cabinet pentru medic de familie, mic laborator de tip ”point of care”, cabinet pentru medic specialist/moașă, cabinet stomatologic (opțional), suplimentar față de cele prevăzute în normele existente, în conformitate cu prevederile legislației specifice și a situației grupurilor vulnerabile identificate din punct de vedere medico-socio-economic. În rândul comunităților care vor beneficia de servicii și vor avea acces la aceste centre comunitare integrate, se estimează că vor avea prioritate comunitățile din mediul rural, marginalizate, inclusiv zonele defavorizate cu populație majoritar romă sau comunități rome, după caz. Ministerul Sănătății și/sau prin autoritatea locală vor angaja și instrui asistenți medicali comunitari și îi vor sprijini în furnizarea serviciilor de promovare a sănătății în comunități locale, facilitând legăturile cu asistența medicală primară, acolo unde este nevoie. În comunitățile cu până la 500-700 de persoane care se identifică a fi de origine romă, va fi desemnat și un mediator sanitar, care va fi format și sprijinit de MS și de autoritatea locală pentru a asigura înscrierea grupurilor vulnerabile în asistența medicală primară. Se are în vedere suport adițional prin POS/FSE+ pentru contractarea personalului necesar. Costurile recurente, cum ar fi costurile personalului, nu sunt incluse.</w:t>
            </w:r>
          </w:p>
          <w:p w14:paraId="37E74EE5" w14:textId="20221E08" w:rsidR="00024F7F" w:rsidRDefault="00024F7F" w:rsidP="00024F7F">
            <w:pPr>
              <w:autoSpaceDE w:val="0"/>
              <w:autoSpaceDN w:val="0"/>
              <w:adjustRightInd w:val="0"/>
              <w:spacing w:after="120"/>
              <w:jc w:val="both"/>
              <w:rPr>
                <w:bCs/>
                <w:sz w:val="22"/>
                <w:szCs w:val="22"/>
                <w:lang w:eastAsia="ro-RO"/>
              </w:rPr>
            </w:pPr>
            <w:r w:rsidRPr="0027748F">
              <w:rPr>
                <w:bCs/>
                <w:sz w:val="22"/>
                <w:szCs w:val="22"/>
                <w:lang w:eastAsia="ro-RO"/>
              </w:rPr>
              <w:t>Cabinetele de planificare familială vor suferi, dacă este cazul, intervenții de reabilitare și reamenajare și vor primi dotări de aparatură medicală de laborator și imagistică (dispozitive de tip point-of-care plus analizor pentru detecția infecțiilor cu transmitere sexuală, ecograf cu ultrasunete echipat cu sonde ginecologice ultraportabile, microscop, echipamente IT, frigider, etc). Unitățile sanitare care au în administrare cabinetele de planificare familială vor accesa finanțarea și vor implementa proiectul. Educația pentru sănătate, în special educația pentru sănătatea reproducerii, va fi implementată în unele regiuni vulnerabile, cu un număr mare de sarcini în adolescență și un număr mare de boli transmitere sexuală.</w:t>
            </w:r>
          </w:p>
          <w:p w14:paraId="4D3EDDA4" w14:textId="610CE189" w:rsidR="000E4553" w:rsidRDefault="000E4553" w:rsidP="00024F7F">
            <w:pPr>
              <w:autoSpaceDE w:val="0"/>
              <w:autoSpaceDN w:val="0"/>
              <w:adjustRightInd w:val="0"/>
              <w:spacing w:after="120"/>
              <w:jc w:val="both"/>
              <w:rPr>
                <w:bCs/>
                <w:sz w:val="22"/>
                <w:szCs w:val="22"/>
                <w:lang w:eastAsia="ro-RO"/>
              </w:rPr>
            </w:pPr>
            <w:r>
              <w:rPr>
                <w:bCs/>
                <w:sz w:val="22"/>
                <w:szCs w:val="22"/>
                <w:lang w:eastAsia="ro-RO"/>
              </w:rPr>
              <w:t>Pentru realizarea acțiunilor asupra dezvoltării sectorului medical prespitalicesc, Ministerul Sănătății propune realizarea unor Programe naționale de dotare cu echipamente, după cum urmează:</w:t>
            </w:r>
          </w:p>
          <w:p w14:paraId="6DDB5C18" w14:textId="54A385FD" w:rsidR="000E4553" w:rsidRPr="00F1724D" w:rsidRDefault="000E4553" w:rsidP="000E4553">
            <w:pPr>
              <w:spacing w:after="120"/>
              <w:jc w:val="both"/>
              <w:rPr>
                <w:bCs/>
                <w:sz w:val="22"/>
                <w:szCs w:val="22"/>
              </w:rPr>
            </w:pPr>
            <w:r>
              <w:rPr>
                <w:bCs/>
                <w:sz w:val="22"/>
                <w:szCs w:val="22"/>
              </w:rPr>
              <w:t xml:space="preserve">a) </w:t>
            </w:r>
            <w:r w:rsidRPr="00F1724D">
              <w:rPr>
                <w:bCs/>
                <w:sz w:val="22"/>
                <w:szCs w:val="22"/>
              </w:rPr>
              <w:t xml:space="preserve">Programul național de dotare cu echipamente a cabinetelor medicilor de familie sau asocieri de cabinete de asistență medicală se va realiza în concordanță cu Investiția specifică: I1.1 Cabinete ale medicilor de familie sau asocieri de cabinete de asistență medicală primară </w:t>
            </w:r>
            <w:r>
              <w:rPr>
                <w:bCs/>
                <w:sz w:val="22"/>
                <w:szCs w:val="22"/>
              </w:rPr>
              <w:t>din cadrul Planului Național de Redresare și Reziliență al României;</w:t>
            </w:r>
          </w:p>
          <w:p w14:paraId="1368F989" w14:textId="77777777" w:rsidR="000E4553" w:rsidRPr="00F1724D" w:rsidRDefault="000E4553" w:rsidP="000E4553">
            <w:pPr>
              <w:spacing w:after="120"/>
              <w:jc w:val="both"/>
              <w:rPr>
                <w:bCs/>
                <w:sz w:val="22"/>
                <w:szCs w:val="22"/>
              </w:rPr>
            </w:pPr>
            <w:r w:rsidRPr="00F1724D">
              <w:rPr>
                <w:bCs/>
                <w:sz w:val="22"/>
                <w:szCs w:val="22"/>
              </w:rPr>
              <w:t>b) Programului național de dotare cu echipamente a cabinetelor de planificare familială se va realiza în concordanță cu Investiția specifică:</w:t>
            </w:r>
            <w:r w:rsidRPr="00F1724D">
              <w:t xml:space="preserve"> </w:t>
            </w:r>
            <w:r w:rsidRPr="00F1724D">
              <w:rPr>
                <w:bCs/>
                <w:sz w:val="22"/>
                <w:szCs w:val="22"/>
              </w:rPr>
              <w:t>I1.5 Cabinete de planificare familială - Alocare - 10,00 mil.euro fără TVA.</w:t>
            </w:r>
          </w:p>
          <w:p w14:paraId="3D39C4C7" w14:textId="5D24C4BE" w:rsidR="000E4553" w:rsidRPr="00F1724D" w:rsidRDefault="000E4553" w:rsidP="000E4553">
            <w:pPr>
              <w:spacing w:after="120"/>
              <w:jc w:val="both"/>
              <w:rPr>
                <w:bCs/>
                <w:sz w:val="22"/>
                <w:szCs w:val="22"/>
              </w:rPr>
            </w:pPr>
            <w:r w:rsidRPr="00F1724D">
              <w:rPr>
                <w:bCs/>
                <w:sz w:val="22"/>
                <w:szCs w:val="22"/>
              </w:rPr>
              <w:t xml:space="preserve">c) Programul național de dotare cu echipamente a centrelor comunitare integrate se va realiza în concordanță cu Investiția specifică: I1.4 Centre comunitare integrate </w:t>
            </w:r>
            <w:r>
              <w:rPr>
                <w:bCs/>
                <w:sz w:val="22"/>
                <w:szCs w:val="22"/>
              </w:rPr>
              <w:t>din cadrul Planului Național de Redresare și Reziliență al României;</w:t>
            </w:r>
          </w:p>
          <w:p w14:paraId="6C3ECF1F" w14:textId="49A7300E" w:rsidR="000E4553" w:rsidRPr="00F1724D" w:rsidRDefault="000E4553" w:rsidP="000E4553">
            <w:pPr>
              <w:spacing w:after="120"/>
              <w:jc w:val="both"/>
              <w:rPr>
                <w:bCs/>
                <w:sz w:val="22"/>
                <w:szCs w:val="22"/>
              </w:rPr>
            </w:pPr>
            <w:r w:rsidRPr="00F1724D">
              <w:rPr>
                <w:bCs/>
                <w:sz w:val="22"/>
                <w:szCs w:val="22"/>
              </w:rPr>
              <w:t>d) Programul național de dotare cu ambulanțe de terapie intensivă nou-născuți se va realiza în concordanță cu Investiția specifică:</w:t>
            </w:r>
            <w:r>
              <w:t xml:space="preserve"> </w:t>
            </w:r>
            <w:r w:rsidRPr="00F1724D">
              <w:rPr>
                <w:bCs/>
                <w:sz w:val="22"/>
                <w:szCs w:val="22"/>
              </w:rPr>
              <w:t xml:space="preserve">I2.3. Secții de terapie intensivă pentru nou-născuți </w:t>
            </w:r>
            <w:r>
              <w:rPr>
                <w:bCs/>
                <w:sz w:val="22"/>
                <w:szCs w:val="22"/>
              </w:rPr>
              <w:t>din cadrul Planului Național de Redresare și Reziliență al României;</w:t>
            </w:r>
          </w:p>
          <w:p w14:paraId="409CC761" w14:textId="7098DC2B" w:rsidR="000E4553" w:rsidRPr="00F1724D" w:rsidRDefault="000E4553" w:rsidP="000E4553">
            <w:pPr>
              <w:spacing w:after="120"/>
              <w:jc w:val="both"/>
              <w:rPr>
                <w:bCs/>
                <w:sz w:val="22"/>
                <w:szCs w:val="22"/>
              </w:rPr>
            </w:pPr>
            <w:r w:rsidRPr="00F1724D">
              <w:rPr>
                <w:bCs/>
                <w:sz w:val="22"/>
                <w:szCs w:val="22"/>
              </w:rPr>
              <w:t>e) Programul</w:t>
            </w:r>
            <w:r>
              <w:rPr>
                <w:bCs/>
                <w:sz w:val="22"/>
                <w:szCs w:val="22"/>
              </w:rPr>
              <w:t xml:space="preserve"> </w:t>
            </w:r>
            <w:r w:rsidRPr="00F1724D">
              <w:rPr>
                <w:bCs/>
                <w:sz w:val="22"/>
                <w:szCs w:val="22"/>
              </w:rPr>
              <w:t xml:space="preserve">național de dotare cu unități mobile de screening pentru cancer se va realiza în concordanță cu Investiția specifică: I1.2. Unități medicale mobile </w:t>
            </w:r>
            <w:r>
              <w:rPr>
                <w:bCs/>
                <w:sz w:val="22"/>
                <w:szCs w:val="22"/>
              </w:rPr>
              <w:t>din cadrul Planului Național de Redresare și Reziliență al României;</w:t>
            </w:r>
          </w:p>
          <w:p w14:paraId="000C2B07" w14:textId="77777777" w:rsidR="000E4553" w:rsidRPr="0027748F" w:rsidRDefault="000E4553" w:rsidP="00024F7F">
            <w:pPr>
              <w:autoSpaceDE w:val="0"/>
              <w:autoSpaceDN w:val="0"/>
              <w:adjustRightInd w:val="0"/>
              <w:spacing w:after="120"/>
              <w:jc w:val="both"/>
              <w:rPr>
                <w:bCs/>
                <w:sz w:val="22"/>
                <w:szCs w:val="22"/>
                <w:lang w:eastAsia="ro-RO"/>
              </w:rPr>
            </w:pPr>
          </w:p>
          <w:p w14:paraId="4923278A" w14:textId="5E06AF4D" w:rsidR="007431BB" w:rsidRPr="0027748F" w:rsidRDefault="007431BB" w:rsidP="007431BB">
            <w:pPr>
              <w:autoSpaceDE w:val="0"/>
              <w:autoSpaceDN w:val="0"/>
              <w:adjustRightInd w:val="0"/>
              <w:spacing w:after="120"/>
              <w:jc w:val="both"/>
              <w:rPr>
                <w:b/>
                <w:bCs/>
                <w:sz w:val="22"/>
                <w:szCs w:val="22"/>
                <w:lang w:eastAsia="en-GB"/>
              </w:rPr>
            </w:pPr>
          </w:p>
        </w:tc>
      </w:tr>
      <w:tr w:rsidR="00EB0CD0" w:rsidRPr="00590335" w14:paraId="2790B87B" w14:textId="77777777" w:rsidTr="00147912">
        <w:trPr>
          <w:trHeight w:val="70"/>
        </w:trPr>
        <w:tc>
          <w:tcPr>
            <w:tcW w:w="10490" w:type="dxa"/>
          </w:tcPr>
          <w:p w14:paraId="39BD2066" w14:textId="2FCC3EB3" w:rsidR="00EB0CD0" w:rsidRPr="00590335" w:rsidRDefault="00EB0CD0" w:rsidP="00306707">
            <w:pPr>
              <w:tabs>
                <w:tab w:val="left" w:pos="6360"/>
              </w:tabs>
              <w:autoSpaceDE w:val="0"/>
              <w:autoSpaceDN w:val="0"/>
              <w:adjustRightInd w:val="0"/>
              <w:spacing w:after="120"/>
              <w:jc w:val="both"/>
              <w:rPr>
                <w:b/>
                <w:sz w:val="22"/>
                <w:szCs w:val="22"/>
                <w:lang w:eastAsia="ro-RO"/>
              </w:rPr>
            </w:pPr>
          </w:p>
        </w:tc>
      </w:tr>
    </w:tbl>
    <w:p w14:paraId="6989CF3B" w14:textId="1715FA2B" w:rsidR="00255292" w:rsidRPr="00F73AB8" w:rsidRDefault="00255292" w:rsidP="008838DB">
      <w:pPr>
        <w:spacing w:after="120"/>
        <w:rPr>
          <w:b/>
        </w:rPr>
      </w:pPr>
      <w:r w:rsidRPr="00F73AB8">
        <w:rPr>
          <w:b/>
        </w:rPr>
        <w:t xml:space="preserve">      </w:t>
      </w:r>
    </w:p>
    <w:p w14:paraId="66DFFA00" w14:textId="77777777" w:rsidR="00255292" w:rsidRPr="00F73AB8" w:rsidRDefault="00255292" w:rsidP="000E4B24">
      <w:pPr>
        <w:spacing w:after="120"/>
        <w:ind w:firstLine="720"/>
        <w:jc w:val="center"/>
        <w:rPr>
          <w:b/>
        </w:rPr>
      </w:pPr>
      <w:r w:rsidRPr="00F73AB8">
        <w:rPr>
          <w:b/>
        </w:rPr>
        <w:t>Secțiunea a 3-a</w:t>
      </w:r>
    </w:p>
    <w:p w14:paraId="3986BD99" w14:textId="77777777" w:rsidR="00255292" w:rsidRPr="00F73AB8" w:rsidRDefault="00255292" w:rsidP="000E4B24">
      <w:pPr>
        <w:spacing w:after="120"/>
        <w:ind w:firstLine="720"/>
        <w:jc w:val="center"/>
        <w:rPr>
          <w:b/>
        </w:rPr>
      </w:pPr>
      <w:r w:rsidRPr="00F73AB8">
        <w:rPr>
          <w:b/>
        </w:rPr>
        <w:t>Impactul socioeconomic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255292" w:rsidRPr="00590335" w14:paraId="67725B63" w14:textId="77777777" w:rsidTr="007C07B3">
        <w:tc>
          <w:tcPr>
            <w:tcW w:w="10533" w:type="dxa"/>
          </w:tcPr>
          <w:p w14:paraId="4E2E55A1" w14:textId="77777777" w:rsidR="0068185F" w:rsidRPr="00590335" w:rsidRDefault="00255292" w:rsidP="008838DB">
            <w:pPr>
              <w:spacing w:after="120"/>
              <w:jc w:val="both"/>
              <w:rPr>
                <w:rFonts w:ascii="Trebuchet MS" w:eastAsiaTheme="minorHAnsi" w:hAnsi="Trebuchet MS"/>
                <w:noProof/>
                <w:sz w:val="22"/>
                <w:szCs w:val="22"/>
              </w:rPr>
            </w:pPr>
            <w:r w:rsidRPr="00590335">
              <w:rPr>
                <w:b/>
                <w:sz w:val="22"/>
                <w:szCs w:val="22"/>
              </w:rPr>
              <w:t>3.1 Descrierea generală a beneficiilor și costurilor estimate ca urmare a intrării în vigoare a actului normativ</w:t>
            </w:r>
            <w:r w:rsidR="0068185F" w:rsidRPr="00590335">
              <w:rPr>
                <w:rFonts w:ascii="Trebuchet MS" w:eastAsiaTheme="minorHAnsi" w:hAnsi="Trebuchet MS"/>
                <w:noProof/>
                <w:sz w:val="22"/>
                <w:szCs w:val="22"/>
              </w:rPr>
              <w:t xml:space="preserve"> </w:t>
            </w:r>
          </w:p>
          <w:p w14:paraId="3032F94F" w14:textId="77777777" w:rsidR="00024F7F" w:rsidRDefault="00024F7F" w:rsidP="00C66683">
            <w:pPr>
              <w:spacing w:after="120"/>
              <w:jc w:val="both"/>
              <w:rPr>
                <w:sz w:val="22"/>
                <w:szCs w:val="22"/>
              </w:rPr>
            </w:pPr>
            <w:r w:rsidRPr="00024F7F">
              <w:rPr>
                <w:sz w:val="22"/>
                <w:szCs w:val="22"/>
              </w:rPr>
              <w:t>Aceast</w:t>
            </w:r>
            <w:r>
              <w:rPr>
                <w:sz w:val="22"/>
                <w:szCs w:val="22"/>
              </w:rPr>
              <w:t>e</w:t>
            </w:r>
            <w:r w:rsidRPr="00024F7F">
              <w:rPr>
                <w:sz w:val="22"/>
                <w:szCs w:val="22"/>
              </w:rPr>
              <w:t xml:space="preserve"> investiți</w:t>
            </w:r>
            <w:r>
              <w:rPr>
                <w:sz w:val="22"/>
                <w:szCs w:val="22"/>
              </w:rPr>
              <w:t>i</w:t>
            </w:r>
            <w:r w:rsidRPr="00024F7F">
              <w:rPr>
                <w:sz w:val="22"/>
                <w:szCs w:val="22"/>
              </w:rPr>
              <w:t xml:space="preserve"> corespund principiilor 3, 16 și 20 ale Pilonului, deoarece va conduce la facilitarea accesului la servicii de îngrijire pe termen lung, de bună calitate și abordabile, în special la servicii medicale la domiciliu și servicii comunitare. Activitățile prevăzute în cadrul investiției vor asigura accesul la servicii esențiale de asistență medicală de bază, inclusiv servicii de prevenție și de diagnostic și tratament precoce. Astfel, acestea vor genera beneficii sociale substanțiale, atât prin eforturile de a îmbunătăți gradul de acoperire a serviciilor de asistență medicală primară (AMP) pentru populațiile sub-deservite, inclusiv pentru persoanele neacoperite de asigurare, cele aflate în sărăcie, cele care locuiesc în așezări care nu dispun de serviciile unui medic de familie sau au o densitate redusă a medicilor de familie raportată la populația rezidentă, dar și prin consolidarea, creșterea accesibilității și a calității serviciilor ambulatorii și spitalicești. În mod concret, centrele comunitare integrate vor fi localizate, în mod prioritar, în comunitățile din mediul rural, marginalizate, inclusiv zonele defavorizate cu populație majoritar romă sau exclusiv romă.</w:t>
            </w:r>
          </w:p>
          <w:p w14:paraId="3444AD76" w14:textId="1F0C4E5A" w:rsidR="0027748F" w:rsidRPr="0027748F" w:rsidRDefault="00024F7F" w:rsidP="00C66683">
            <w:pPr>
              <w:spacing w:after="120"/>
              <w:jc w:val="both"/>
              <w:rPr>
                <w:bCs/>
                <w:sz w:val="22"/>
                <w:szCs w:val="22"/>
              </w:rPr>
            </w:pPr>
            <w:r w:rsidRPr="0027748F">
              <w:rPr>
                <w:bCs/>
                <w:sz w:val="22"/>
                <w:szCs w:val="22"/>
              </w:rPr>
              <w:t>Investițiile în infrastructura medicală prespitalicească vor asigura, în funcție de context, elementele de accesibilizare pentru persoanele cu dizabilități și nevoi speciale (Principiul 17). Vor fi respectate, astfel, prevederile normativelor naționale în domeniu, iar acolo unde va fi cazul vor fi identificate, testate și implementate soluții inovative de accesibilizare.</w:t>
            </w:r>
          </w:p>
          <w:p w14:paraId="00675DDC" w14:textId="72E07A20" w:rsidR="0027748F" w:rsidRPr="0027748F" w:rsidRDefault="0027748F" w:rsidP="00C66683">
            <w:pPr>
              <w:spacing w:after="120"/>
              <w:jc w:val="both"/>
              <w:rPr>
                <w:bCs/>
                <w:sz w:val="22"/>
                <w:szCs w:val="22"/>
              </w:rPr>
            </w:pPr>
            <w:r w:rsidRPr="0027748F">
              <w:rPr>
                <w:bCs/>
                <w:sz w:val="22"/>
                <w:szCs w:val="22"/>
              </w:rPr>
              <w:t>Finanțarea pentru programele menționate va fi asigurată prin cadrul Componentei 12 – Sănătate aferentă Planului Național de Redresare și Reziliență, după cum urmează:</w:t>
            </w:r>
          </w:p>
          <w:p w14:paraId="71A7A627" w14:textId="2CAD1B2B" w:rsidR="0027748F" w:rsidRPr="00F1724D" w:rsidRDefault="0027748F" w:rsidP="00C66683">
            <w:pPr>
              <w:spacing w:after="120"/>
              <w:jc w:val="both"/>
              <w:rPr>
                <w:bCs/>
                <w:sz w:val="22"/>
                <w:szCs w:val="22"/>
              </w:rPr>
            </w:pPr>
            <w:r w:rsidRPr="00F1724D">
              <w:rPr>
                <w:bCs/>
                <w:sz w:val="22"/>
                <w:szCs w:val="22"/>
              </w:rPr>
              <w:t xml:space="preserve">a) Programului național de dotare cu echipamente a cabinetelor medicilor de familie sau asocieri de cabinete de asistență medicală se va realiza în concordanță cu </w:t>
            </w:r>
            <w:r w:rsidR="00F1724D" w:rsidRPr="00F1724D">
              <w:rPr>
                <w:bCs/>
                <w:sz w:val="22"/>
                <w:szCs w:val="22"/>
              </w:rPr>
              <w:t>Investiția specifică: I1.1 Cabinete ale medicilor de familie sau asocieri de cabinete de asistență medicală primară - Alocare - 180,45 mil.euro fără TVA.</w:t>
            </w:r>
          </w:p>
          <w:p w14:paraId="198358A4" w14:textId="07F812BF" w:rsidR="0027748F" w:rsidRPr="00F1724D" w:rsidRDefault="0027748F" w:rsidP="00C66683">
            <w:pPr>
              <w:spacing w:after="120"/>
              <w:jc w:val="both"/>
              <w:rPr>
                <w:bCs/>
                <w:sz w:val="22"/>
                <w:szCs w:val="22"/>
              </w:rPr>
            </w:pPr>
            <w:r w:rsidRPr="00F1724D">
              <w:rPr>
                <w:bCs/>
                <w:sz w:val="22"/>
                <w:szCs w:val="22"/>
              </w:rPr>
              <w:t>b) Programului național de dotare cu echipamente a cabinetelor de planificare familială</w:t>
            </w:r>
            <w:r w:rsidR="00F1724D" w:rsidRPr="00F1724D">
              <w:rPr>
                <w:bCs/>
                <w:sz w:val="22"/>
                <w:szCs w:val="22"/>
              </w:rPr>
              <w:t xml:space="preserve"> se va realiza în concordanță cu Investiția specifică:</w:t>
            </w:r>
            <w:r w:rsidR="00F1724D" w:rsidRPr="00F1724D">
              <w:t xml:space="preserve"> </w:t>
            </w:r>
            <w:r w:rsidR="00F1724D" w:rsidRPr="00F1724D">
              <w:rPr>
                <w:bCs/>
                <w:sz w:val="22"/>
                <w:szCs w:val="22"/>
              </w:rPr>
              <w:t>I1.5 Cabinete de planificare familială - Alocare - 10,00 mil.euro fără TVA.</w:t>
            </w:r>
          </w:p>
          <w:p w14:paraId="292A6307" w14:textId="52F3DFDC" w:rsidR="0027748F" w:rsidRPr="00F1724D" w:rsidRDefault="0027748F" w:rsidP="00C66683">
            <w:pPr>
              <w:spacing w:after="120"/>
              <w:jc w:val="both"/>
              <w:rPr>
                <w:bCs/>
                <w:sz w:val="22"/>
                <w:szCs w:val="22"/>
              </w:rPr>
            </w:pPr>
            <w:r w:rsidRPr="00F1724D">
              <w:rPr>
                <w:bCs/>
                <w:sz w:val="22"/>
                <w:szCs w:val="22"/>
              </w:rPr>
              <w:t>c) Programului național de dotare cu echipamente a centrelor comunitare integrate</w:t>
            </w:r>
            <w:r w:rsidR="00F1724D" w:rsidRPr="00F1724D">
              <w:rPr>
                <w:bCs/>
                <w:sz w:val="22"/>
                <w:szCs w:val="22"/>
              </w:rPr>
              <w:t xml:space="preserve"> se va realiza în concordanță cu Investiția specifică: I1.4 Centre comunitare integrate - Alocare - 40,20 mil.euro fără TVA.</w:t>
            </w:r>
          </w:p>
          <w:p w14:paraId="745567B3" w14:textId="5AF7BC72" w:rsidR="0027748F" w:rsidRPr="00F1724D" w:rsidRDefault="0027748F" w:rsidP="00C66683">
            <w:pPr>
              <w:spacing w:after="120"/>
              <w:jc w:val="both"/>
              <w:rPr>
                <w:bCs/>
                <w:sz w:val="22"/>
                <w:szCs w:val="22"/>
              </w:rPr>
            </w:pPr>
            <w:r w:rsidRPr="00F1724D">
              <w:rPr>
                <w:bCs/>
                <w:sz w:val="22"/>
                <w:szCs w:val="22"/>
              </w:rPr>
              <w:t>d) Programului național de dotare cu ambulanțe de terapie intensivă nou-născuți</w:t>
            </w:r>
            <w:r w:rsidR="00F1724D" w:rsidRPr="00F1724D">
              <w:rPr>
                <w:bCs/>
                <w:sz w:val="22"/>
                <w:szCs w:val="22"/>
              </w:rPr>
              <w:t xml:space="preserve"> se va realiza în concordanță cu Investiția specifică:</w:t>
            </w:r>
            <w:r w:rsidR="00F1724D">
              <w:t xml:space="preserve"> </w:t>
            </w:r>
            <w:r w:rsidR="00F1724D" w:rsidRPr="00F1724D">
              <w:rPr>
                <w:bCs/>
                <w:sz w:val="22"/>
                <w:szCs w:val="22"/>
              </w:rPr>
              <w:t xml:space="preserve">I2.3. Secții de terapie intensivă pentru nou-născuți </w:t>
            </w:r>
            <w:r w:rsidR="00F1724D">
              <w:rPr>
                <w:bCs/>
                <w:sz w:val="22"/>
                <w:szCs w:val="22"/>
              </w:rPr>
              <w:t xml:space="preserve">- </w:t>
            </w:r>
            <w:r w:rsidR="00F1724D" w:rsidRPr="00F1724D">
              <w:rPr>
                <w:bCs/>
                <w:sz w:val="22"/>
                <w:szCs w:val="22"/>
              </w:rPr>
              <w:t>Alocare – 80,20 mil.euro</w:t>
            </w:r>
            <w:r w:rsidR="00F1724D">
              <w:rPr>
                <w:bCs/>
                <w:sz w:val="22"/>
                <w:szCs w:val="22"/>
              </w:rPr>
              <w:t xml:space="preserve"> fără TVA.</w:t>
            </w:r>
          </w:p>
          <w:p w14:paraId="1B681A93" w14:textId="5AC85443" w:rsidR="0027748F" w:rsidRDefault="0027748F" w:rsidP="00C66683">
            <w:pPr>
              <w:spacing w:after="120"/>
              <w:jc w:val="both"/>
              <w:rPr>
                <w:bCs/>
                <w:sz w:val="22"/>
                <w:szCs w:val="22"/>
              </w:rPr>
            </w:pPr>
            <w:r w:rsidRPr="00F1724D">
              <w:rPr>
                <w:bCs/>
                <w:sz w:val="22"/>
                <w:szCs w:val="22"/>
              </w:rPr>
              <w:t>e) Programului național de dotare cu unități mobile de screening pentru cancer</w:t>
            </w:r>
            <w:r w:rsidR="00F1724D" w:rsidRPr="00F1724D">
              <w:rPr>
                <w:bCs/>
                <w:sz w:val="22"/>
                <w:szCs w:val="22"/>
              </w:rPr>
              <w:t xml:space="preserve"> se va realiza în concordanță cu Investiția specifică: I1.2. Unități medicale mobile - Alocare - 4,02 mil.euro fără TVA.</w:t>
            </w:r>
          </w:p>
          <w:p w14:paraId="53EDDB4D" w14:textId="53B6F424" w:rsidR="000E4553" w:rsidRPr="00A5040D" w:rsidRDefault="000E4553" w:rsidP="000E4553">
            <w:pPr>
              <w:pBdr>
                <w:top w:val="nil"/>
                <w:left w:val="nil"/>
                <w:bottom w:val="nil"/>
                <w:right w:val="nil"/>
                <w:between w:val="nil"/>
              </w:pBdr>
              <w:jc w:val="both"/>
              <w:rPr>
                <w:color w:val="000000"/>
              </w:rPr>
            </w:pPr>
            <w:r>
              <w:rPr>
                <w:bCs/>
                <w:sz w:val="22"/>
                <w:szCs w:val="22"/>
              </w:rPr>
              <w:t xml:space="preserve">Pentru realizarea în termen a dotărilor menționate anterior, </w:t>
            </w:r>
            <w:r>
              <w:rPr>
                <w:color w:val="000000"/>
              </w:rPr>
              <w:t>o</w:t>
            </w:r>
            <w:r w:rsidRPr="006A0642">
              <w:rPr>
                <w:color w:val="000000"/>
              </w:rPr>
              <w:t>rganizarea procedur</w:t>
            </w:r>
            <w:r>
              <w:rPr>
                <w:color w:val="000000"/>
              </w:rPr>
              <w:t>ilor</w:t>
            </w:r>
            <w:r w:rsidRPr="006A0642">
              <w:rPr>
                <w:color w:val="000000"/>
              </w:rPr>
              <w:t xml:space="preserve"> de achiziție </w:t>
            </w:r>
            <w:r>
              <w:rPr>
                <w:color w:val="000000"/>
              </w:rPr>
              <w:t>pentru</w:t>
            </w:r>
            <w:r w:rsidRPr="006A0642">
              <w:rPr>
                <w:color w:val="000000"/>
              </w:rPr>
              <w:t xml:space="preserve"> </w:t>
            </w:r>
            <w:r>
              <w:rPr>
                <w:color w:val="000000"/>
              </w:rPr>
              <w:t>echipamente</w:t>
            </w:r>
            <w:r w:rsidRPr="006A0642">
              <w:rPr>
                <w:color w:val="000000"/>
              </w:rPr>
              <w:t xml:space="preserve"> se realizează </w:t>
            </w:r>
            <w:r w:rsidRPr="006A0642">
              <w:t xml:space="preserve">la solicitarea Ministerului </w:t>
            </w:r>
            <w:r>
              <w:t>Sănătăț</w:t>
            </w:r>
            <w:r>
              <w:rPr>
                <w:color w:val="000000"/>
              </w:rPr>
              <w:t xml:space="preserve">ii, </w:t>
            </w:r>
            <w:r w:rsidRPr="00A5040D">
              <w:t>în baza fundamentării necesarului</w:t>
            </w:r>
            <w:r>
              <w:t>,</w:t>
            </w:r>
            <w:r w:rsidRPr="006A0642">
              <w:rPr>
                <w:color w:val="000000"/>
              </w:rPr>
              <w:t xml:space="preserve"> de Oficiul Național pentru Achiziții Centralizate</w:t>
            </w:r>
            <w:r w:rsidRPr="006A0642">
              <w:t xml:space="preserve"> </w:t>
            </w:r>
            <w:r>
              <w:t xml:space="preserve">și se finalizează </w:t>
            </w:r>
            <w:r w:rsidRPr="006A0642">
              <w:t>prin încheierea de acorduri-cadru,</w:t>
            </w:r>
            <w:r>
              <w:t>în numele și pentru Ministerul Sănătății.</w:t>
            </w:r>
          </w:p>
          <w:p w14:paraId="22E1D96D" w14:textId="77777777" w:rsidR="000E4553" w:rsidRDefault="000E4553" w:rsidP="000E4553">
            <w:pPr>
              <w:pBdr>
                <w:top w:val="nil"/>
                <w:left w:val="nil"/>
                <w:bottom w:val="nil"/>
                <w:right w:val="nil"/>
                <w:between w:val="nil"/>
              </w:pBdr>
              <w:jc w:val="both"/>
            </w:pPr>
          </w:p>
          <w:p w14:paraId="00F615AE" w14:textId="1742EFF3" w:rsidR="000E4553" w:rsidRDefault="000E4553" w:rsidP="000E4553">
            <w:pPr>
              <w:pBdr>
                <w:top w:val="nil"/>
                <w:left w:val="nil"/>
                <w:bottom w:val="nil"/>
                <w:right w:val="nil"/>
                <w:between w:val="nil"/>
              </w:pBdr>
              <w:jc w:val="both"/>
            </w:pPr>
            <w:r w:rsidRPr="006A0642">
              <w:t xml:space="preserve">Ministerul </w:t>
            </w:r>
            <w:r>
              <w:t>Sănătății</w:t>
            </w:r>
            <w:r w:rsidRPr="006A0642">
              <w:t xml:space="preserve"> </w:t>
            </w:r>
            <w:r>
              <w:t xml:space="preserve">va </w:t>
            </w:r>
            <w:r w:rsidRPr="006A0642">
              <w:t xml:space="preserve">pune la dispoziția Oficiului Național pentru Achiziții Centralizate </w:t>
            </w:r>
            <w:r>
              <w:t xml:space="preserve">centralizatorul cu </w:t>
            </w:r>
            <w:r w:rsidRPr="006A0642">
              <w:t>necesitățil</w:t>
            </w:r>
            <w:r>
              <w:t>e colectate pentru fiecare beneficiar (inclusiv datele de identificare și adresele de livrare)</w:t>
            </w:r>
            <w:r w:rsidRPr="006A0642">
              <w:t xml:space="preserve">, </w:t>
            </w:r>
            <w:r>
              <w:t xml:space="preserve">respectiv cantitate estimată minimă și maximă pentru acordul-cadru, precum și canitatea pentru cel mai mic și pentru cel mai mare contract subsecvent, </w:t>
            </w:r>
            <w:r w:rsidRPr="006A0642">
              <w:t>valoarea estimată pentru fiecare produs în parte,</w:t>
            </w:r>
            <w:r>
              <w:t xml:space="preserve"> specificațiile tehnice,</w:t>
            </w:r>
            <w:r w:rsidRPr="006A0642">
              <w:t xml:space="preserve"> caietul de sarcini</w:t>
            </w:r>
            <w:r>
              <w:t>,</w:t>
            </w:r>
            <w:r w:rsidRPr="006A0642">
              <w:t xml:space="preserve"> </w:t>
            </w:r>
            <w:r>
              <w:t xml:space="preserve">precum </w:t>
            </w:r>
            <w:r w:rsidRPr="006A0642">
              <w:t xml:space="preserve">și specialiștii care vor acorda suport tehnic pe toată </w:t>
            </w:r>
            <w:r>
              <w:t>durata procesului de achiziție</w:t>
            </w:r>
            <w:r w:rsidRPr="006A0642">
              <w:t>, precum și persoanele care vor face parte din comisiile de evaluare</w:t>
            </w:r>
            <w:r>
              <w:t>.</w:t>
            </w:r>
            <w:r>
              <w:t xml:space="preserve"> </w:t>
            </w:r>
          </w:p>
          <w:p w14:paraId="6533901A" w14:textId="6702FAD4" w:rsidR="000E4553" w:rsidRPr="00F1724D" w:rsidRDefault="000E4553" w:rsidP="00C66683">
            <w:pPr>
              <w:spacing w:after="120"/>
              <w:jc w:val="both"/>
              <w:rPr>
                <w:bCs/>
                <w:sz w:val="22"/>
                <w:szCs w:val="22"/>
              </w:rPr>
            </w:pPr>
          </w:p>
          <w:p w14:paraId="65D8E46B" w14:textId="77777777" w:rsidR="00024F7F" w:rsidRDefault="00024F7F" w:rsidP="00C66683">
            <w:pPr>
              <w:spacing w:after="120"/>
              <w:jc w:val="both"/>
              <w:rPr>
                <w:b/>
                <w:sz w:val="22"/>
                <w:szCs w:val="22"/>
              </w:rPr>
            </w:pPr>
          </w:p>
          <w:p w14:paraId="6D083BC4" w14:textId="26BAC308" w:rsidR="00255292" w:rsidRPr="00590335" w:rsidRDefault="00255292" w:rsidP="00C66683">
            <w:pPr>
              <w:spacing w:after="120"/>
              <w:jc w:val="both"/>
              <w:rPr>
                <w:b/>
                <w:sz w:val="22"/>
                <w:szCs w:val="22"/>
              </w:rPr>
            </w:pPr>
            <w:r w:rsidRPr="00590335">
              <w:rPr>
                <w:b/>
                <w:sz w:val="22"/>
                <w:szCs w:val="22"/>
              </w:rPr>
              <w:t>3.2 Impactul social</w:t>
            </w:r>
          </w:p>
          <w:p w14:paraId="3FD5B4CF" w14:textId="77777777" w:rsidR="00024F7F" w:rsidRDefault="00024F7F" w:rsidP="00C66683">
            <w:pPr>
              <w:spacing w:after="120"/>
              <w:jc w:val="both"/>
              <w:rPr>
                <w:sz w:val="22"/>
                <w:szCs w:val="22"/>
              </w:rPr>
            </w:pPr>
            <w:r w:rsidRPr="00024F7F">
              <w:rPr>
                <w:sz w:val="22"/>
                <w:szCs w:val="22"/>
              </w:rPr>
              <w:t>Cabinetele de medicină de familie furnizează servicii medicale de complexitate redusă, care fac parte din pachetul de servicii de bază pentru persoanele asigurate, respectiv din pachetul minimal de servicii, pentru persoanele neasigurate. Aceste servicii se încadrează în servicii de asistență primară a sănătății (conform Organizației Mondiale a Sănătății). Ele sunt adresate populației generale și, în particular, populației vulnerabile. Nici aici dezvoltarea acestor servicii nu determină, în niciun caz, un risc de denaturare a concurenței, deoarece ele vor fi susținute preponderent în mediul rural (unde acoperirea cu medici de familie este deficitară de la începutul funcționării sistemului de asigurări de sănătate, deși aici trăiesc 45% dintre cetățeni) și în zone geografice mai puțin deservite (în care volumul anual de servicii pe locuitor este inferior mediei naționale). În plus, serviciile au impact local.</w:t>
            </w:r>
          </w:p>
          <w:p w14:paraId="6DD340F6" w14:textId="3D157699" w:rsidR="00024F7F" w:rsidRPr="00F1724D" w:rsidRDefault="00024F7F" w:rsidP="00C66683">
            <w:pPr>
              <w:spacing w:after="120"/>
              <w:jc w:val="both"/>
              <w:rPr>
                <w:bCs/>
                <w:sz w:val="22"/>
                <w:szCs w:val="22"/>
              </w:rPr>
            </w:pPr>
            <w:r w:rsidRPr="00F1724D">
              <w:rPr>
                <w:bCs/>
                <w:sz w:val="22"/>
                <w:szCs w:val="22"/>
              </w:rPr>
              <w:t>Centrele comunitare integrate fac parte din ansamblul de programe de asistență medicală comunitară desfășurate de Ministerul Sănătății, având ca scop principal creșterea accesului populației și, în special, al grupurilor vulnerabile la servicii medico-sociale de calitate, sprijinind efortul de incluziune socială și medicală, urmărind un obiectiv social, susținut de principiul solidarității, care funcționează sub supravegherea statului, finanțat direct din contribuții de asigurări sociale și alte resurse de stat și care furnizează servicii gratuite pe baza acoperirii universale. Centrele comunitare sunt entități publice aflate în domeniul public al unităților administrativ- teritoriale. Beneficiarii serviciilor de asistență medicală comunitară sunt membrii comunității, cu precădere persoanele vulnerabile din punct de vedere medical sau social, cu accent pe populația din mediul rural și grupurile vulnerabile, inclusiv cele de etnie romă. Serviciile prestate prin aceste centre comunitare integrate sunt prestate cu titlu gratuit pentru beneficiari.</w:t>
            </w:r>
          </w:p>
          <w:p w14:paraId="3FB86AB5" w14:textId="3DE475C9" w:rsidR="0027748F" w:rsidRPr="00F1724D" w:rsidRDefault="0027748F" w:rsidP="00C66683">
            <w:pPr>
              <w:spacing w:after="120"/>
              <w:jc w:val="both"/>
              <w:rPr>
                <w:bCs/>
                <w:sz w:val="22"/>
                <w:szCs w:val="22"/>
              </w:rPr>
            </w:pPr>
            <w:r w:rsidRPr="00F1724D">
              <w:rPr>
                <w:bCs/>
                <w:sz w:val="22"/>
                <w:szCs w:val="22"/>
              </w:rPr>
              <w:t>În ceea ce privește unitățile mobile de terapie intensivă neonatală de Nivel III, România nu deține, în acest moment, astfel de echipaje. Se urmărește dotarea fiecărui centru regional cu o astfel de unitate, care ar permite transportul în siguranță al pacienților neonatali în stare critică, în funcție de necesitate.</w:t>
            </w:r>
          </w:p>
          <w:p w14:paraId="5EEF0BDD" w14:textId="77777777" w:rsidR="00024F7F" w:rsidRDefault="00024F7F" w:rsidP="00C66683">
            <w:pPr>
              <w:spacing w:after="120"/>
              <w:jc w:val="both"/>
              <w:rPr>
                <w:b/>
                <w:sz w:val="22"/>
                <w:szCs w:val="22"/>
              </w:rPr>
            </w:pPr>
          </w:p>
          <w:p w14:paraId="6FE9CEDB" w14:textId="04864990" w:rsidR="00255292" w:rsidRPr="00590335" w:rsidRDefault="00255292" w:rsidP="00C66683">
            <w:pPr>
              <w:spacing w:after="120"/>
              <w:jc w:val="both"/>
              <w:rPr>
                <w:b/>
                <w:sz w:val="22"/>
                <w:szCs w:val="22"/>
              </w:rPr>
            </w:pPr>
            <w:r w:rsidRPr="00590335">
              <w:rPr>
                <w:b/>
                <w:sz w:val="22"/>
                <w:szCs w:val="22"/>
              </w:rPr>
              <w:t xml:space="preserve">3.3. Impactul asupra drepturilor și libertăților fundamentale ale omului </w:t>
            </w:r>
          </w:p>
          <w:p w14:paraId="628BC63E" w14:textId="5133E793" w:rsidR="0068185F" w:rsidRPr="00590335" w:rsidRDefault="0068185F" w:rsidP="00C66683">
            <w:pPr>
              <w:spacing w:after="120"/>
              <w:jc w:val="both"/>
              <w:rPr>
                <w:b/>
                <w:sz w:val="22"/>
                <w:szCs w:val="22"/>
              </w:rPr>
            </w:pPr>
            <w:r w:rsidRPr="00590335">
              <w:rPr>
                <w:sz w:val="22"/>
                <w:szCs w:val="22"/>
              </w:rPr>
              <w:t>Nu este cazul.</w:t>
            </w:r>
          </w:p>
          <w:p w14:paraId="77B1884A" w14:textId="77777777" w:rsidR="00255292" w:rsidRPr="00590335" w:rsidRDefault="00255292" w:rsidP="008838DB">
            <w:pPr>
              <w:spacing w:after="120"/>
              <w:jc w:val="both"/>
              <w:rPr>
                <w:b/>
                <w:sz w:val="22"/>
                <w:szCs w:val="22"/>
              </w:rPr>
            </w:pPr>
            <w:r w:rsidRPr="00590335">
              <w:rPr>
                <w:b/>
                <w:sz w:val="22"/>
                <w:szCs w:val="22"/>
              </w:rPr>
              <w:t>3.4. Impactul macroeconomic</w:t>
            </w:r>
          </w:p>
          <w:p w14:paraId="11C668F0" w14:textId="24B712F8" w:rsidR="0068185F" w:rsidRPr="00590335" w:rsidRDefault="00F1724D" w:rsidP="008838DB">
            <w:pPr>
              <w:spacing w:after="120"/>
              <w:jc w:val="both"/>
              <w:rPr>
                <w:sz w:val="22"/>
                <w:szCs w:val="22"/>
              </w:rPr>
            </w:pPr>
            <w:r>
              <w:rPr>
                <w:sz w:val="22"/>
                <w:szCs w:val="22"/>
              </w:rPr>
              <w:t>Nu este cazul.</w:t>
            </w:r>
          </w:p>
          <w:p w14:paraId="66848F15" w14:textId="77777777" w:rsidR="00255292" w:rsidRPr="00590335" w:rsidRDefault="00255292" w:rsidP="008838DB">
            <w:pPr>
              <w:spacing w:after="120"/>
              <w:jc w:val="both"/>
              <w:rPr>
                <w:b/>
                <w:sz w:val="22"/>
                <w:szCs w:val="22"/>
              </w:rPr>
            </w:pPr>
            <w:r w:rsidRPr="00590335">
              <w:rPr>
                <w:b/>
                <w:sz w:val="22"/>
                <w:szCs w:val="22"/>
              </w:rPr>
              <w:t>3.4.1 Impactul asupra economiei și asupra principalilor indicatori macroeconomici</w:t>
            </w:r>
          </w:p>
          <w:p w14:paraId="3E3568CF" w14:textId="6A1139BE" w:rsidR="0068185F" w:rsidRPr="00590335" w:rsidRDefault="0068185F" w:rsidP="008838DB">
            <w:pPr>
              <w:spacing w:after="120"/>
              <w:jc w:val="both"/>
              <w:rPr>
                <w:sz w:val="22"/>
                <w:szCs w:val="22"/>
              </w:rPr>
            </w:pPr>
            <w:r w:rsidRPr="00590335">
              <w:rPr>
                <w:sz w:val="22"/>
                <w:szCs w:val="22"/>
              </w:rPr>
              <w:t>Nu este cazul</w:t>
            </w:r>
          </w:p>
          <w:p w14:paraId="203E7AF6" w14:textId="77777777" w:rsidR="00255292" w:rsidRPr="00590335" w:rsidRDefault="00255292" w:rsidP="008838DB">
            <w:pPr>
              <w:spacing w:after="120"/>
              <w:jc w:val="both"/>
              <w:rPr>
                <w:b/>
                <w:sz w:val="22"/>
                <w:szCs w:val="22"/>
              </w:rPr>
            </w:pPr>
            <w:r w:rsidRPr="00590335">
              <w:rPr>
                <w:b/>
                <w:sz w:val="22"/>
                <w:szCs w:val="22"/>
              </w:rPr>
              <w:t>3.4.2 Impactul asupra mediului concurențial si domeniului ajutoarelor de stat</w:t>
            </w:r>
          </w:p>
          <w:p w14:paraId="31E121CA" w14:textId="7AB8BACB" w:rsidR="0068185F" w:rsidRPr="00590335" w:rsidRDefault="0068185F" w:rsidP="008838DB">
            <w:pPr>
              <w:spacing w:after="120"/>
              <w:jc w:val="both"/>
              <w:rPr>
                <w:sz w:val="22"/>
                <w:szCs w:val="22"/>
              </w:rPr>
            </w:pPr>
            <w:r w:rsidRPr="00590335">
              <w:rPr>
                <w:sz w:val="22"/>
                <w:szCs w:val="22"/>
              </w:rPr>
              <w:t>Nu este cazul</w:t>
            </w:r>
          </w:p>
          <w:p w14:paraId="409EFD90" w14:textId="77777777" w:rsidR="00255292" w:rsidRPr="00590335" w:rsidRDefault="00255292" w:rsidP="008838DB">
            <w:pPr>
              <w:spacing w:after="120"/>
              <w:jc w:val="both"/>
              <w:rPr>
                <w:b/>
                <w:sz w:val="22"/>
                <w:szCs w:val="22"/>
              </w:rPr>
            </w:pPr>
            <w:r w:rsidRPr="00590335">
              <w:rPr>
                <w:b/>
                <w:sz w:val="22"/>
                <w:szCs w:val="22"/>
              </w:rPr>
              <w:t>3.5. Impactul asupra mediului de afaceri</w:t>
            </w:r>
          </w:p>
          <w:p w14:paraId="7138FF59" w14:textId="0E017FD3" w:rsidR="00255292" w:rsidRPr="00590335" w:rsidRDefault="0068185F" w:rsidP="008D718C">
            <w:pPr>
              <w:autoSpaceDE w:val="0"/>
              <w:autoSpaceDN w:val="0"/>
              <w:adjustRightInd w:val="0"/>
              <w:jc w:val="both"/>
              <w:rPr>
                <w:sz w:val="22"/>
                <w:szCs w:val="22"/>
                <w:lang w:eastAsia="en-GB"/>
              </w:rPr>
            </w:pPr>
            <w:r w:rsidRPr="00590335">
              <w:rPr>
                <w:sz w:val="22"/>
                <w:szCs w:val="22"/>
                <w:lang w:eastAsia="en-GB"/>
              </w:rPr>
              <w:t>Nu este cazul</w:t>
            </w:r>
          </w:p>
          <w:p w14:paraId="32A8F9E9" w14:textId="75974CD2" w:rsidR="00255292" w:rsidRPr="00590335" w:rsidRDefault="00255292" w:rsidP="008838DB">
            <w:pPr>
              <w:spacing w:after="120"/>
              <w:jc w:val="both"/>
              <w:rPr>
                <w:b/>
                <w:sz w:val="22"/>
                <w:szCs w:val="22"/>
              </w:rPr>
            </w:pPr>
            <w:r w:rsidRPr="00590335">
              <w:rPr>
                <w:b/>
                <w:sz w:val="22"/>
                <w:szCs w:val="22"/>
              </w:rPr>
              <w:t>3.6 Impactul asupra mediului înconjurător</w:t>
            </w:r>
          </w:p>
          <w:p w14:paraId="486AFD43" w14:textId="0473801E" w:rsidR="007431BB" w:rsidRPr="00590335" w:rsidRDefault="00F1724D" w:rsidP="007431BB">
            <w:pPr>
              <w:spacing w:after="120"/>
              <w:jc w:val="both"/>
              <w:rPr>
                <w:b/>
                <w:sz w:val="22"/>
                <w:szCs w:val="22"/>
              </w:rPr>
            </w:pPr>
            <w:r>
              <w:rPr>
                <w:sz w:val="22"/>
                <w:szCs w:val="22"/>
              </w:rPr>
              <w:t>Nu este</w:t>
            </w:r>
          </w:p>
          <w:p w14:paraId="17882DCC" w14:textId="77777777" w:rsidR="00255292" w:rsidRPr="00590335" w:rsidRDefault="00255292" w:rsidP="00C66683">
            <w:pPr>
              <w:spacing w:after="120"/>
              <w:jc w:val="both"/>
              <w:rPr>
                <w:b/>
                <w:bCs/>
                <w:sz w:val="22"/>
                <w:szCs w:val="22"/>
              </w:rPr>
            </w:pPr>
            <w:r w:rsidRPr="00590335">
              <w:rPr>
                <w:b/>
                <w:bCs/>
                <w:sz w:val="22"/>
                <w:szCs w:val="22"/>
              </w:rPr>
              <w:t>3.7. Evaluarea costurilor și beneficiilor din perspectiva inovării și digitalizării</w:t>
            </w:r>
          </w:p>
          <w:p w14:paraId="133F237B" w14:textId="2FD2EF31" w:rsidR="009A157D" w:rsidRPr="00590335" w:rsidRDefault="009A157D" w:rsidP="00C66683">
            <w:pPr>
              <w:spacing w:after="120"/>
              <w:jc w:val="both"/>
              <w:rPr>
                <w:bCs/>
                <w:sz w:val="22"/>
                <w:szCs w:val="22"/>
              </w:rPr>
            </w:pPr>
            <w:r w:rsidRPr="00590335">
              <w:rPr>
                <w:bCs/>
                <w:sz w:val="22"/>
                <w:szCs w:val="22"/>
              </w:rPr>
              <w:t>Nu este cazul</w:t>
            </w:r>
          </w:p>
          <w:p w14:paraId="5E51AFE4" w14:textId="77777777" w:rsidR="00255292" w:rsidRPr="00590335" w:rsidRDefault="00255292" w:rsidP="008F7D4B">
            <w:pPr>
              <w:spacing w:after="120"/>
              <w:jc w:val="both"/>
              <w:rPr>
                <w:b/>
                <w:bCs/>
                <w:sz w:val="22"/>
                <w:szCs w:val="22"/>
              </w:rPr>
            </w:pPr>
            <w:r w:rsidRPr="00590335">
              <w:rPr>
                <w:b/>
                <w:bCs/>
                <w:sz w:val="22"/>
                <w:szCs w:val="22"/>
              </w:rPr>
              <w:t>3.8 Evaluarea costurilor și beneficiilor din perspectiva dezvoltării durabile</w:t>
            </w:r>
          </w:p>
          <w:p w14:paraId="4A2EF97A" w14:textId="570D5BF7" w:rsidR="009A157D" w:rsidRPr="00590335" w:rsidRDefault="007431BB" w:rsidP="008F7D4B">
            <w:pPr>
              <w:spacing w:after="120"/>
              <w:jc w:val="both"/>
              <w:rPr>
                <w:bCs/>
                <w:sz w:val="22"/>
                <w:szCs w:val="22"/>
              </w:rPr>
            </w:pPr>
            <w:r w:rsidRPr="00590335">
              <w:rPr>
                <w:bCs/>
                <w:sz w:val="22"/>
                <w:szCs w:val="22"/>
              </w:rPr>
              <w:t>Reducerea impactului noxelor asupra mediului.</w:t>
            </w:r>
          </w:p>
          <w:p w14:paraId="7ED5B449" w14:textId="144FE540" w:rsidR="009A157D" w:rsidRPr="00590335" w:rsidRDefault="00255292" w:rsidP="008F7D4B">
            <w:pPr>
              <w:spacing w:after="120"/>
              <w:jc w:val="both"/>
              <w:rPr>
                <w:b/>
                <w:bCs/>
                <w:sz w:val="22"/>
                <w:szCs w:val="22"/>
              </w:rPr>
            </w:pPr>
            <w:r w:rsidRPr="00590335">
              <w:rPr>
                <w:b/>
                <w:bCs/>
                <w:sz w:val="22"/>
                <w:szCs w:val="22"/>
              </w:rPr>
              <w:t>3.9. Alte informații</w:t>
            </w:r>
          </w:p>
        </w:tc>
      </w:tr>
    </w:tbl>
    <w:p w14:paraId="2928E35F" w14:textId="77777777" w:rsidR="00255292" w:rsidRPr="00F73AB8" w:rsidRDefault="00255292" w:rsidP="008838DB">
      <w:pPr>
        <w:spacing w:after="120"/>
        <w:ind w:left="180"/>
        <w:jc w:val="both"/>
        <w:rPr>
          <w:b/>
        </w:rPr>
      </w:pPr>
    </w:p>
    <w:p w14:paraId="20A77766" w14:textId="77777777" w:rsidR="00255292" w:rsidRPr="00F73AB8" w:rsidRDefault="00255292" w:rsidP="000E4B24">
      <w:pPr>
        <w:spacing w:after="120"/>
        <w:ind w:firstLine="720"/>
        <w:jc w:val="center"/>
        <w:rPr>
          <w:b/>
        </w:rPr>
      </w:pPr>
      <w:r w:rsidRPr="00F73AB8">
        <w:rPr>
          <w:b/>
        </w:rPr>
        <w:t>Secţiunea a 4-a</w:t>
      </w:r>
    </w:p>
    <w:p w14:paraId="539C4D42" w14:textId="77777777" w:rsidR="00255292" w:rsidRPr="00F73AB8" w:rsidRDefault="00255292" w:rsidP="000E4B24">
      <w:pPr>
        <w:spacing w:after="120"/>
        <w:ind w:firstLine="720"/>
        <w:jc w:val="center"/>
        <w:rPr>
          <w:b/>
        </w:rPr>
      </w:pPr>
      <w:r w:rsidRPr="00F73AB8">
        <w:rPr>
          <w:b/>
        </w:rPr>
        <w:t xml:space="preserve">Impactul financiar asupra bugetului general consolidat atât pe termen scurt, pentru anul curent, cât şi pe termen lung (pe 5 ani), inclusiv informații cu privire la cheltuieli și venituri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058"/>
        <w:gridCol w:w="1366"/>
        <w:gridCol w:w="1466"/>
        <w:gridCol w:w="1366"/>
        <w:gridCol w:w="1135"/>
        <w:gridCol w:w="1448"/>
      </w:tblGrid>
      <w:tr w:rsidR="00255292" w:rsidRPr="00590335" w14:paraId="52B782F2" w14:textId="77777777" w:rsidTr="0037486B">
        <w:tc>
          <w:tcPr>
            <w:tcW w:w="10533" w:type="dxa"/>
            <w:gridSpan w:val="7"/>
          </w:tcPr>
          <w:p w14:paraId="2E4CC893" w14:textId="77777777" w:rsidR="00255292" w:rsidRPr="00590335" w:rsidRDefault="00255292" w:rsidP="008838DB">
            <w:pPr>
              <w:pStyle w:val="ListParagraph"/>
              <w:numPr>
                <w:ilvl w:val="0"/>
                <w:numId w:val="13"/>
              </w:numPr>
              <w:spacing w:after="120"/>
              <w:jc w:val="right"/>
              <w:rPr>
                <w:rFonts w:ascii="Times New Roman" w:hAnsi="Times New Roman"/>
                <w:sz w:val="22"/>
                <w:szCs w:val="22"/>
                <w:lang w:eastAsia="en-US"/>
              </w:rPr>
            </w:pPr>
            <w:r w:rsidRPr="00590335">
              <w:rPr>
                <w:rFonts w:ascii="Times New Roman" w:hAnsi="Times New Roman"/>
                <w:sz w:val="22"/>
                <w:szCs w:val="22"/>
                <w:lang w:eastAsia="en-US"/>
              </w:rPr>
              <w:t>În mii lei (RON)</w:t>
            </w:r>
          </w:p>
        </w:tc>
      </w:tr>
      <w:tr w:rsidR="00255292" w:rsidRPr="00590335" w14:paraId="7EA59742" w14:textId="77777777" w:rsidTr="005A13C5">
        <w:tc>
          <w:tcPr>
            <w:tcW w:w="2694" w:type="dxa"/>
          </w:tcPr>
          <w:p w14:paraId="65276C0F" w14:textId="77777777" w:rsidR="00255292" w:rsidRPr="00590335" w:rsidRDefault="00255292" w:rsidP="008838DB">
            <w:pPr>
              <w:pStyle w:val="Heading2"/>
              <w:spacing w:after="120"/>
              <w:rPr>
                <w:sz w:val="22"/>
                <w:szCs w:val="22"/>
                <w:lang w:eastAsia="en-US"/>
              </w:rPr>
            </w:pPr>
            <w:r w:rsidRPr="00590335">
              <w:rPr>
                <w:sz w:val="22"/>
                <w:szCs w:val="22"/>
                <w:lang w:eastAsia="en-US"/>
              </w:rPr>
              <w:t>Indicatori</w:t>
            </w:r>
          </w:p>
        </w:tc>
        <w:tc>
          <w:tcPr>
            <w:tcW w:w="1058" w:type="dxa"/>
          </w:tcPr>
          <w:p w14:paraId="346955BD" w14:textId="77777777" w:rsidR="00255292" w:rsidRPr="00590335" w:rsidRDefault="00255292" w:rsidP="008838DB">
            <w:pPr>
              <w:spacing w:after="120"/>
              <w:jc w:val="center"/>
              <w:rPr>
                <w:sz w:val="22"/>
                <w:szCs w:val="22"/>
              </w:rPr>
            </w:pPr>
            <w:r w:rsidRPr="00590335">
              <w:rPr>
                <w:sz w:val="22"/>
                <w:szCs w:val="22"/>
              </w:rPr>
              <w:t>Anul curent</w:t>
            </w:r>
          </w:p>
        </w:tc>
        <w:tc>
          <w:tcPr>
            <w:tcW w:w="5333" w:type="dxa"/>
            <w:gridSpan w:val="4"/>
          </w:tcPr>
          <w:p w14:paraId="480B08C7" w14:textId="77777777" w:rsidR="00255292" w:rsidRPr="00590335" w:rsidRDefault="00255292" w:rsidP="008838DB">
            <w:pPr>
              <w:spacing w:after="120"/>
              <w:jc w:val="center"/>
              <w:rPr>
                <w:sz w:val="22"/>
                <w:szCs w:val="22"/>
              </w:rPr>
            </w:pPr>
            <w:r w:rsidRPr="00590335">
              <w:rPr>
                <w:sz w:val="22"/>
                <w:szCs w:val="22"/>
              </w:rPr>
              <w:t>Următorii 4 ani</w:t>
            </w:r>
          </w:p>
        </w:tc>
        <w:tc>
          <w:tcPr>
            <w:tcW w:w="1448" w:type="dxa"/>
          </w:tcPr>
          <w:p w14:paraId="6A5CA151" w14:textId="77777777" w:rsidR="00255292" w:rsidRPr="00590335" w:rsidRDefault="00255292" w:rsidP="008838DB">
            <w:pPr>
              <w:spacing w:after="120"/>
              <w:jc w:val="center"/>
              <w:rPr>
                <w:sz w:val="22"/>
                <w:szCs w:val="22"/>
              </w:rPr>
            </w:pPr>
            <w:r w:rsidRPr="00590335">
              <w:rPr>
                <w:sz w:val="22"/>
                <w:szCs w:val="22"/>
              </w:rPr>
              <w:t>Media pe 5 ani</w:t>
            </w:r>
          </w:p>
        </w:tc>
      </w:tr>
      <w:tr w:rsidR="00255292" w:rsidRPr="00590335" w14:paraId="40710CFA" w14:textId="77777777" w:rsidTr="005A13C5">
        <w:tc>
          <w:tcPr>
            <w:tcW w:w="2694" w:type="dxa"/>
          </w:tcPr>
          <w:p w14:paraId="31A8C254" w14:textId="77777777" w:rsidR="00255292" w:rsidRPr="00590335" w:rsidRDefault="00255292" w:rsidP="008838DB">
            <w:pPr>
              <w:spacing w:after="120"/>
              <w:jc w:val="center"/>
              <w:rPr>
                <w:sz w:val="22"/>
                <w:szCs w:val="22"/>
              </w:rPr>
            </w:pPr>
            <w:r w:rsidRPr="00590335">
              <w:rPr>
                <w:sz w:val="22"/>
                <w:szCs w:val="22"/>
              </w:rPr>
              <w:t>1</w:t>
            </w:r>
          </w:p>
        </w:tc>
        <w:tc>
          <w:tcPr>
            <w:tcW w:w="1058" w:type="dxa"/>
            <w:vAlign w:val="center"/>
          </w:tcPr>
          <w:p w14:paraId="3233D407" w14:textId="77777777" w:rsidR="00255292" w:rsidRPr="00590335" w:rsidRDefault="00255292" w:rsidP="008838DB">
            <w:pPr>
              <w:spacing w:after="120"/>
              <w:jc w:val="center"/>
              <w:rPr>
                <w:sz w:val="22"/>
                <w:szCs w:val="22"/>
              </w:rPr>
            </w:pPr>
            <w:r w:rsidRPr="00590335">
              <w:rPr>
                <w:sz w:val="22"/>
                <w:szCs w:val="22"/>
              </w:rPr>
              <w:t>2</w:t>
            </w:r>
          </w:p>
        </w:tc>
        <w:tc>
          <w:tcPr>
            <w:tcW w:w="1366" w:type="dxa"/>
            <w:vAlign w:val="center"/>
          </w:tcPr>
          <w:p w14:paraId="0959DD46" w14:textId="77777777" w:rsidR="00255292" w:rsidRPr="00590335" w:rsidRDefault="00255292" w:rsidP="008838DB">
            <w:pPr>
              <w:spacing w:after="120"/>
              <w:jc w:val="center"/>
              <w:rPr>
                <w:sz w:val="22"/>
                <w:szCs w:val="22"/>
              </w:rPr>
            </w:pPr>
            <w:r w:rsidRPr="00590335">
              <w:rPr>
                <w:sz w:val="22"/>
                <w:szCs w:val="22"/>
              </w:rPr>
              <w:t>3</w:t>
            </w:r>
          </w:p>
        </w:tc>
        <w:tc>
          <w:tcPr>
            <w:tcW w:w="1466" w:type="dxa"/>
            <w:vAlign w:val="center"/>
          </w:tcPr>
          <w:p w14:paraId="578A79E8" w14:textId="77777777" w:rsidR="00255292" w:rsidRPr="00590335" w:rsidRDefault="00255292" w:rsidP="008838DB">
            <w:pPr>
              <w:spacing w:after="120"/>
              <w:jc w:val="center"/>
              <w:rPr>
                <w:sz w:val="22"/>
                <w:szCs w:val="22"/>
              </w:rPr>
            </w:pPr>
            <w:r w:rsidRPr="00590335">
              <w:rPr>
                <w:sz w:val="22"/>
                <w:szCs w:val="22"/>
              </w:rPr>
              <w:t>4</w:t>
            </w:r>
          </w:p>
        </w:tc>
        <w:tc>
          <w:tcPr>
            <w:tcW w:w="1366" w:type="dxa"/>
            <w:vAlign w:val="center"/>
          </w:tcPr>
          <w:p w14:paraId="76738AF3" w14:textId="77777777" w:rsidR="00255292" w:rsidRPr="00590335" w:rsidRDefault="00255292" w:rsidP="008838DB">
            <w:pPr>
              <w:spacing w:after="120"/>
              <w:jc w:val="center"/>
              <w:rPr>
                <w:sz w:val="22"/>
                <w:szCs w:val="22"/>
              </w:rPr>
            </w:pPr>
            <w:r w:rsidRPr="00590335">
              <w:rPr>
                <w:sz w:val="22"/>
                <w:szCs w:val="22"/>
              </w:rPr>
              <w:t>5</w:t>
            </w:r>
          </w:p>
        </w:tc>
        <w:tc>
          <w:tcPr>
            <w:tcW w:w="1135" w:type="dxa"/>
            <w:vAlign w:val="center"/>
          </w:tcPr>
          <w:p w14:paraId="49A68C08" w14:textId="77777777" w:rsidR="00255292" w:rsidRPr="00590335" w:rsidRDefault="00255292" w:rsidP="008838DB">
            <w:pPr>
              <w:spacing w:after="120"/>
              <w:jc w:val="center"/>
              <w:rPr>
                <w:sz w:val="22"/>
                <w:szCs w:val="22"/>
              </w:rPr>
            </w:pPr>
            <w:r w:rsidRPr="00590335">
              <w:rPr>
                <w:sz w:val="22"/>
                <w:szCs w:val="22"/>
              </w:rPr>
              <w:t>6</w:t>
            </w:r>
          </w:p>
        </w:tc>
        <w:tc>
          <w:tcPr>
            <w:tcW w:w="1448" w:type="dxa"/>
            <w:vAlign w:val="center"/>
          </w:tcPr>
          <w:p w14:paraId="1556DD36" w14:textId="77777777" w:rsidR="00255292" w:rsidRPr="00590335" w:rsidRDefault="00255292" w:rsidP="008838DB">
            <w:pPr>
              <w:spacing w:after="120"/>
              <w:jc w:val="center"/>
              <w:rPr>
                <w:sz w:val="22"/>
                <w:szCs w:val="22"/>
              </w:rPr>
            </w:pPr>
            <w:r w:rsidRPr="00590335">
              <w:rPr>
                <w:sz w:val="22"/>
                <w:szCs w:val="22"/>
              </w:rPr>
              <w:t>7</w:t>
            </w:r>
          </w:p>
        </w:tc>
      </w:tr>
      <w:tr w:rsidR="00255292" w:rsidRPr="00590335" w14:paraId="3E9F17F7" w14:textId="77777777" w:rsidTr="005A13C5">
        <w:tc>
          <w:tcPr>
            <w:tcW w:w="2694" w:type="dxa"/>
          </w:tcPr>
          <w:p w14:paraId="4C0B9AAD" w14:textId="77777777" w:rsidR="00255292" w:rsidRPr="00590335" w:rsidRDefault="00255292" w:rsidP="008838DB">
            <w:pPr>
              <w:spacing w:after="120"/>
              <w:jc w:val="both"/>
              <w:rPr>
                <w:b/>
                <w:bCs/>
                <w:sz w:val="22"/>
                <w:szCs w:val="22"/>
              </w:rPr>
            </w:pPr>
            <w:r w:rsidRPr="00590335">
              <w:rPr>
                <w:b/>
                <w:bCs/>
                <w:sz w:val="22"/>
                <w:szCs w:val="22"/>
              </w:rPr>
              <w:t>4.1. Modificări ale veniturilor bugetare, plus/minus, din care:</w:t>
            </w:r>
          </w:p>
        </w:tc>
        <w:tc>
          <w:tcPr>
            <w:tcW w:w="1058" w:type="dxa"/>
          </w:tcPr>
          <w:p w14:paraId="7439C01A" w14:textId="77777777" w:rsidR="00255292" w:rsidRPr="00590335" w:rsidRDefault="00255292" w:rsidP="008838DB">
            <w:pPr>
              <w:pStyle w:val="BodyText2"/>
              <w:spacing w:after="120"/>
              <w:rPr>
                <w:sz w:val="22"/>
                <w:szCs w:val="22"/>
                <w:lang w:eastAsia="en-US"/>
              </w:rPr>
            </w:pPr>
            <w:r w:rsidRPr="00590335">
              <w:rPr>
                <w:sz w:val="22"/>
                <w:szCs w:val="22"/>
                <w:lang w:eastAsia="en-US"/>
              </w:rPr>
              <w:t>-</w:t>
            </w:r>
          </w:p>
        </w:tc>
        <w:tc>
          <w:tcPr>
            <w:tcW w:w="1366" w:type="dxa"/>
          </w:tcPr>
          <w:p w14:paraId="668B9CCE" w14:textId="77777777" w:rsidR="00255292" w:rsidRPr="00590335" w:rsidRDefault="00255292" w:rsidP="008838DB">
            <w:pPr>
              <w:pStyle w:val="BodyText2"/>
              <w:spacing w:after="120"/>
              <w:rPr>
                <w:sz w:val="22"/>
                <w:szCs w:val="22"/>
                <w:lang w:eastAsia="en-US"/>
              </w:rPr>
            </w:pPr>
            <w:r w:rsidRPr="00590335">
              <w:rPr>
                <w:sz w:val="22"/>
                <w:szCs w:val="22"/>
                <w:lang w:eastAsia="en-US"/>
              </w:rPr>
              <w:t>-</w:t>
            </w:r>
          </w:p>
        </w:tc>
        <w:tc>
          <w:tcPr>
            <w:tcW w:w="1466" w:type="dxa"/>
          </w:tcPr>
          <w:p w14:paraId="150B7251" w14:textId="77777777" w:rsidR="00255292" w:rsidRPr="00590335" w:rsidRDefault="00255292" w:rsidP="008838DB">
            <w:pPr>
              <w:pStyle w:val="BodyText2"/>
              <w:spacing w:after="120"/>
              <w:rPr>
                <w:sz w:val="22"/>
                <w:szCs w:val="22"/>
                <w:lang w:eastAsia="en-US"/>
              </w:rPr>
            </w:pPr>
            <w:r w:rsidRPr="00590335">
              <w:rPr>
                <w:sz w:val="22"/>
                <w:szCs w:val="22"/>
                <w:lang w:eastAsia="en-US"/>
              </w:rPr>
              <w:t>-</w:t>
            </w:r>
          </w:p>
        </w:tc>
        <w:tc>
          <w:tcPr>
            <w:tcW w:w="1366" w:type="dxa"/>
          </w:tcPr>
          <w:p w14:paraId="732D3AFB" w14:textId="77777777" w:rsidR="00255292" w:rsidRPr="00590335" w:rsidRDefault="00255292" w:rsidP="008838DB">
            <w:pPr>
              <w:pStyle w:val="BodyText2"/>
              <w:spacing w:after="120"/>
              <w:rPr>
                <w:sz w:val="22"/>
                <w:szCs w:val="22"/>
                <w:lang w:eastAsia="en-US"/>
              </w:rPr>
            </w:pPr>
            <w:r w:rsidRPr="00590335">
              <w:rPr>
                <w:sz w:val="22"/>
                <w:szCs w:val="22"/>
                <w:lang w:eastAsia="en-US"/>
              </w:rPr>
              <w:t>-</w:t>
            </w:r>
          </w:p>
        </w:tc>
        <w:tc>
          <w:tcPr>
            <w:tcW w:w="1135" w:type="dxa"/>
          </w:tcPr>
          <w:p w14:paraId="293C99CF" w14:textId="77777777" w:rsidR="00255292" w:rsidRPr="00590335" w:rsidRDefault="00255292" w:rsidP="008838DB">
            <w:pPr>
              <w:pStyle w:val="BodyText2"/>
              <w:spacing w:after="120"/>
              <w:rPr>
                <w:sz w:val="22"/>
                <w:szCs w:val="22"/>
                <w:lang w:eastAsia="en-US"/>
              </w:rPr>
            </w:pPr>
            <w:r w:rsidRPr="00590335">
              <w:rPr>
                <w:sz w:val="22"/>
                <w:szCs w:val="22"/>
                <w:lang w:eastAsia="en-US"/>
              </w:rPr>
              <w:t>-</w:t>
            </w:r>
          </w:p>
        </w:tc>
        <w:tc>
          <w:tcPr>
            <w:tcW w:w="1448" w:type="dxa"/>
          </w:tcPr>
          <w:p w14:paraId="14E55FF6" w14:textId="77777777" w:rsidR="00255292" w:rsidRPr="00590335" w:rsidRDefault="00255292" w:rsidP="008838DB">
            <w:pPr>
              <w:pStyle w:val="BodyText2"/>
              <w:spacing w:after="120"/>
              <w:rPr>
                <w:sz w:val="22"/>
                <w:szCs w:val="22"/>
                <w:lang w:eastAsia="en-US"/>
              </w:rPr>
            </w:pPr>
            <w:r w:rsidRPr="00590335">
              <w:rPr>
                <w:sz w:val="22"/>
                <w:szCs w:val="22"/>
                <w:lang w:eastAsia="en-US"/>
              </w:rPr>
              <w:t>-</w:t>
            </w:r>
          </w:p>
        </w:tc>
      </w:tr>
      <w:tr w:rsidR="00255292" w:rsidRPr="00590335" w14:paraId="280095C5" w14:textId="77777777" w:rsidTr="005A13C5">
        <w:tc>
          <w:tcPr>
            <w:tcW w:w="2694" w:type="dxa"/>
          </w:tcPr>
          <w:p w14:paraId="78673006" w14:textId="77777777" w:rsidR="00255292" w:rsidRPr="00590335" w:rsidRDefault="00255292" w:rsidP="00C66683">
            <w:pPr>
              <w:spacing w:after="120"/>
              <w:jc w:val="both"/>
              <w:rPr>
                <w:sz w:val="22"/>
                <w:szCs w:val="22"/>
              </w:rPr>
            </w:pPr>
            <w:r w:rsidRPr="00590335">
              <w:rPr>
                <w:sz w:val="22"/>
                <w:szCs w:val="22"/>
              </w:rPr>
              <w:t>a) bugetul de stat, din acesta:</w:t>
            </w:r>
          </w:p>
          <w:p w14:paraId="29AA5975" w14:textId="77777777" w:rsidR="00255292" w:rsidRPr="00590335" w:rsidRDefault="00255292" w:rsidP="00C66683">
            <w:pPr>
              <w:spacing w:after="120"/>
              <w:jc w:val="both"/>
              <w:rPr>
                <w:sz w:val="22"/>
                <w:szCs w:val="22"/>
              </w:rPr>
            </w:pPr>
            <w:r w:rsidRPr="00590335">
              <w:rPr>
                <w:sz w:val="22"/>
                <w:szCs w:val="22"/>
              </w:rPr>
              <w:t>(i) impozit pe profit</w:t>
            </w:r>
          </w:p>
          <w:p w14:paraId="073699FA" w14:textId="77777777" w:rsidR="00255292" w:rsidRPr="00590335" w:rsidRDefault="00255292" w:rsidP="00C66683">
            <w:pPr>
              <w:spacing w:after="120"/>
              <w:jc w:val="both"/>
              <w:rPr>
                <w:sz w:val="22"/>
                <w:szCs w:val="22"/>
              </w:rPr>
            </w:pPr>
            <w:r w:rsidRPr="00590335">
              <w:rPr>
                <w:sz w:val="22"/>
                <w:szCs w:val="22"/>
              </w:rPr>
              <w:t>(ii) impozit pe venit</w:t>
            </w:r>
          </w:p>
        </w:tc>
        <w:tc>
          <w:tcPr>
            <w:tcW w:w="1058" w:type="dxa"/>
          </w:tcPr>
          <w:p w14:paraId="54BDAF56"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366" w:type="dxa"/>
          </w:tcPr>
          <w:p w14:paraId="0BFC53D5"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466" w:type="dxa"/>
          </w:tcPr>
          <w:p w14:paraId="6A28C0D5"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366" w:type="dxa"/>
          </w:tcPr>
          <w:p w14:paraId="387A9CE5"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135" w:type="dxa"/>
          </w:tcPr>
          <w:p w14:paraId="52E1DE26"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448" w:type="dxa"/>
          </w:tcPr>
          <w:p w14:paraId="3E14334B"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r>
      <w:tr w:rsidR="00255292" w:rsidRPr="00590335" w14:paraId="25F9C06E" w14:textId="77777777" w:rsidTr="005A13C5">
        <w:tc>
          <w:tcPr>
            <w:tcW w:w="2694" w:type="dxa"/>
          </w:tcPr>
          <w:p w14:paraId="397E7205" w14:textId="77777777" w:rsidR="00255292" w:rsidRPr="00590335" w:rsidRDefault="00255292" w:rsidP="00C66683">
            <w:pPr>
              <w:spacing w:after="120"/>
              <w:jc w:val="both"/>
              <w:rPr>
                <w:sz w:val="22"/>
                <w:szCs w:val="22"/>
              </w:rPr>
            </w:pPr>
            <w:r w:rsidRPr="00590335">
              <w:rPr>
                <w:sz w:val="22"/>
                <w:szCs w:val="22"/>
              </w:rPr>
              <w:t>b) bugete locale:</w:t>
            </w:r>
          </w:p>
          <w:p w14:paraId="42E90049" w14:textId="77777777" w:rsidR="00255292" w:rsidRPr="00590335" w:rsidRDefault="00255292" w:rsidP="00C66683">
            <w:pPr>
              <w:spacing w:after="120"/>
              <w:jc w:val="both"/>
              <w:rPr>
                <w:sz w:val="22"/>
                <w:szCs w:val="22"/>
              </w:rPr>
            </w:pPr>
            <w:r w:rsidRPr="00590335">
              <w:rPr>
                <w:sz w:val="22"/>
                <w:szCs w:val="22"/>
              </w:rPr>
              <w:t>(i) impozit pe profit</w:t>
            </w:r>
          </w:p>
        </w:tc>
        <w:tc>
          <w:tcPr>
            <w:tcW w:w="1058" w:type="dxa"/>
          </w:tcPr>
          <w:p w14:paraId="7FBCBB85"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366" w:type="dxa"/>
          </w:tcPr>
          <w:p w14:paraId="0672D6B4"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466" w:type="dxa"/>
          </w:tcPr>
          <w:p w14:paraId="7EA374C1"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366" w:type="dxa"/>
          </w:tcPr>
          <w:p w14:paraId="5FC3073F"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135" w:type="dxa"/>
          </w:tcPr>
          <w:p w14:paraId="57F9F4E5"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448" w:type="dxa"/>
          </w:tcPr>
          <w:p w14:paraId="2B34DC72"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r>
      <w:tr w:rsidR="00255292" w:rsidRPr="00590335" w14:paraId="4BD157FB" w14:textId="77777777" w:rsidTr="005A13C5">
        <w:tc>
          <w:tcPr>
            <w:tcW w:w="2694" w:type="dxa"/>
          </w:tcPr>
          <w:p w14:paraId="79580C95" w14:textId="77777777" w:rsidR="00255292" w:rsidRPr="00590335" w:rsidRDefault="00255292" w:rsidP="00C66683">
            <w:pPr>
              <w:spacing w:after="120"/>
              <w:jc w:val="both"/>
              <w:rPr>
                <w:sz w:val="22"/>
                <w:szCs w:val="22"/>
              </w:rPr>
            </w:pPr>
            <w:r w:rsidRPr="00590335">
              <w:rPr>
                <w:sz w:val="22"/>
                <w:szCs w:val="22"/>
              </w:rPr>
              <w:t>c) bugetul asigurărilor sociale de stat</w:t>
            </w:r>
          </w:p>
          <w:p w14:paraId="41E79B0D" w14:textId="77777777" w:rsidR="00255292" w:rsidRPr="00590335" w:rsidRDefault="00255292" w:rsidP="00C66683">
            <w:pPr>
              <w:spacing w:after="120"/>
              <w:jc w:val="both"/>
              <w:rPr>
                <w:sz w:val="22"/>
                <w:szCs w:val="22"/>
              </w:rPr>
            </w:pPr>
            <w:r w:rsidRPr="00590335">
              <w:rPr>
                <w:sz w:val="22"/>
                <w:szCs w:val="22"/>
              </w:rPr>
              <w:t>(i) contribuţii de asigurări</w:t>
            </w:r>
          </w:p>
        </w:tc>
        <w:tc>
          <w:tcPr>
            <w:tcW w:w="1058" w:type="dxa"/>
          </w:tcPr>
          <w:p w14:paraId="6D34235A"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366" w:type="dxa"/>
          </w:tcPr>
          <w:p w14:paraId="043D278A"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466" w:type="dxa"/>
          </w:tcPr>
          <w:p w14:paraId="392285B7"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366" w:type="dxa"/>
          </w:tcPr>
          <w:p w14:paraId="7C709A3D"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135" w:type="dxa"/>
          </w:tcPr>
          <w:p w14:paraId="06DA116C"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448" w:type="dxa"/>
          </w:tcPr>
          <w:p w14:paraId="76DB0810"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r>
      <w:tr w:rsidR="00255292" w:rsidRPr="00590335" w14:paraId="12ADB4A9" w14:textId="77777777" w:rsidTr="005A13C5">
        <w:tc>
          <w:tcPr>
            <w:tcW w:w="2694" w:type="dxa"/>
          </w:tcPr>
          <w:p w14:paraId="39290FED" w14:textId="77777777" w:rsidR="00255292" w:rsidRPr="00590335" w:rsidRDefault="00255292" w:rsidP="00C66683">
            <w:pPr>
              <w:spacing w:after="120"/>
              <w:jc w:val="both"/>
              <w:rPr>
                <w:sz w:val="22"/>
                <w:szCs w:val="22"/>
              </w:rPr>
            </w:pPr>
            <w:r w:rsidRPr="00590335">
              <w:rPr>
                <w:sz w:val="22"/>
                <w:szCs w:val="22"/>
              </w:rPr>
              <w:t>d) alte tipuri de venituri</w:t>
            </w:r>
          </w:p>
          <w:p w14:paraId="7754C578" w14:textId="77777777" w:rsidR="00255292" w:rsidRPr="00590335" w:rsidRDefault="00255292" w:rsidP="00C66683">
            <w:pPr>
              <w:spacing w:after="120"/>
              <w:jc w:val="both"/>
              <w:rPr>
                <w:sz w:val="22"/>
                <w:szCs w:val="22"/>
              </w:rPr>
            </w:pPr>
            <w:r w:rsidRPr="00590335">
              <w:rPr>
                <w:sz w:val="22"/>
                <w:szCs w:val="22"/>
              </w:rPr>
              <w:t xml:space="preserve">(Se va menționa natura acestora.) </w:t>
            </w:r>
          </w:p>
        </w:tc>
        <w:tc>
          <w:tcPr>
            <w:tcW w:w="1058" w:type="dxa"/>
          </w:tcPr>
          <w:p w14:paraId="0A288CA6"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366" w:type="dxa"/>
          </w:tcPr>
          <w:p w14:paraId="50A8801D"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466" w:type="dxa"/>
          </w:tcPr>
          <w:p w14:paraId="6B47C122"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366" w:type="dxa"/>
          </w:tcPr>
          <w:p w14:paraId="3AC92512"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135" w:type="dxa"/>
          </w:tcPr>
          <w:p w14:paraId="519FF6C9"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c>
          <w:tcPr>
            <w:tcW w:w="1448" w:type="dxa"/>
          </w:tcPr>
          <w:p w14:paraId="00CB4F4C" w14:textId="77777777" w:rsidR="00255292" w:rsidRPr="00590335" w:rsidRDefault="00255292" w:rsidP="00C66683">
            <w:pPr>
              <w:pStyle w:val="BodyText2"/>
              <w:spacing w:after="120"/>
              <w:rPr>
                <w:sz w:val="22"/>
                <w:szCs w:val="22"/>
                <w:lang w:eastAsia="en-US"/>
              </w:rPr>
            </w:pPr>
            <w:r w:rsidRPr="00590335">
              <w:rPr>
                <w:sz w:val="22"/>
                <w:szCs w:val="22"/>
                <w:lang w:eastAsia="en-US"/>
              </w:rPr>
              <w:t>-</w:t>
            </w:r>
          </w:p>
        </w:tc>
      </w:tr>
      <w:tr w:rsidR="00255292" w:rsidRPr="00590335" w14:paraId="4D577E2E" w14:textId="77777777" w:rsidTr="005A13C5">
        <w:tc>
          <w:tcPr>
            <w:tcW w:w="2694" w:type="dxa"/>
          </w:tcPr>
          <w:p w14:paraId="2CF864A7" w14:textId="77777777" w:rsidR="00255292" w:rsidRPr="00590335" w:rsidRDefault="00255292" w:rsidP="00C66683">
            <w:pPr>
              <w:spacing w:after="120"/>
              <w:jc w:val="both"/>
              <w:rPr>
                <w:b/>
                <w:bCs/>
                <w:sz w:val="22"/>
                <w:szCs w:val="22"/>
              </w:rPr>
            </w:pPr>
            <w:r w:rsidRPr="00590335">
              <w:rPr>
                <w:b/>
                <w:bCs/>
                <w:sz w:val="22"/>
                <w:szCs w:val="22"/>
              </w:rPr>
              <w:t>4.2. Modificări ale cheltuielilor bugetare, plus/minus, din care:</w:t>
            </w:r>
          </w:p>
        </w:tc>
        <w:tc>
          <w:tcPr>
            <w:tcW w:w="1058" w:type="dxa"/>
          </w:tcPr>
          <w:p w14:paraId="503A34EB"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640D002F" w14:textId="77777777" w:rsidR="00255292" w:rsidRPr="00590335" w:rsidRDefault="00255292" w:rsidP="00C66683">
            <w:pPr>
              <w:spacing w:after="120"/>
              <w:jc w:val="center"/>
              <w:rPr>
                <w:sz w:val="22"/>
                <w:szCs w:val="22"/>
              </w:rPr>
            </w:pPr>
            <w:r w:rsidRPr="00590335">
              <w:rPr>
                <w:sz w:val="22"/>
                <w:szCs w:val="22"/>
              </w:rPr>
              <w:t>-</w:t>
            </w:r>
          </w:p>
        </w:tc>
        <w:tc>
          <w:tcPr>
            <w:tcW w:w="1466" w:type="dxa"/>
          </w:tcPr>
          <w:p w14:paraId="61CD074E"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119E1B52" w14:textId="77777777" w:rsidR="00255292" w:rsidRPr="00590335" w:rsidRDefault="00255292" w:rsidP="00C66683">
            <w:pPr>
              <w:spacing w:after="120"/>
              <w:jc w:val="center"/>
              <w:rPr>
                <w:sz w:val="22"/>
                <w:szCs w:val="22"/>
              </w:rPr>
            </w:pPr>
            <w:r w:rsidRPr="00590335">
              <w:rPr>
                <w:sz w:val="22"/>
                <w:szCs w:val="22"/>
              </w:rPr>
              <w:t>-</w:t>
            </w:r>
          </w:p>
        </w:tc>
        <w:tc>
          <w:tcPr>
            <w:tcW w:w="1135" w:type="dxa"/>
          </w:tcPr>
          <w:p w14:paraId="798AE669" w14:textId="77777777" w:rsidR="00255292" w:rsidRPr="00590335" w:rsidRDefault="00255292" w:rsidP="00C66683">
            <w:pPr>
              <w:spacing w:after="120"/>
              <w:jc w:val="center"/>
              <w:rPr>
                <w:sz w:val="22"/>
                <w:szCs w:val="22"/>
              </w:rPr>
            </w:pPr>
            <w:r w:rsidRPr="00590335">
              <w:rPr>
                <w:sz w:val="22"/>
                <w:szCs w:val="22"/>
              </w:rPr>
              <w:t>-</w:t>
            </w:r>
          </w:p>
        </w:tc>
        <w:tc>
          <w:tcPr>
            <w:tcW w:w="1448" w:type="dxa"/>
          </w:tcPr>
          <w:p w14:paraId="60B6513D" w14:textId="77777777" w:rsidR="00255292" w:rsidRPr="00590335" w:rsidRDefault="00255292" w:rsidP="00C66683">
            <w:pPr>
              <w:spacing w:after="120"/>
              <w:jc w:val="center"/>
              <w:rPr>
                <w:sz w:val="22"/>
                <w:szCs w:val="22"/>
              </w:rPr>
            </w:pPr>
            <w:r w:rsidRPr="00590335">
              <w:rPr>
                <w:sz w:val="22"/>
                <w:szCs w:val="22"/>
              </w:rPr>
              <w:t>-</w:t>
            </w:r>
          </w:p>
        </w:tc>
      </w:tr>
      <w:tr w:rsidR="00255292" w:rsidRPr="00590335" w14:paraId="3536B1EE" w14:textId="77777777" w:rsidTr="005A13C5">
        <w:tc>
          <w:tcPr>
            <w:tcW w:w="2694" w:type="dxa"/>
          </w:tcPr>
          <w:p w14:paraId="30908F91" w14:textId="77777777" w:rsidR="00255292" w:rsidRPr="00590335" w:rsidRDefault="00255292" w:rsidP="00C66683">
            <w:pPr>
              <w:spacing w:after="120"/>
              <w:jc w:val="both"/>
              <w:rPr>
                <w:sz w:val="22"/>
                <w:szCs w:val="22"/>
              </w:rPr>
            </w:pPr>
            <w:r w:rsidRPr="00590335">
              <w:rPr>
                <w:sz w:val="22"/>
                <w:szCs w:val="22"/>
              </w:rPr>
              <w:t>a) buget de stat, din acesta:</w:t>
            </w:r>
          </w:p>
          <w:p w14:paraId="34E073E2" w14:textId="77777777" w:rsidR="00255292" w:rsidRPr="00590335" w:rsidRDefault="00255292" w:rsidP="00C66683">
            <w:pPr>
              <w:spacing w:after="120"/>
              <w:jc w:val="both"/>
              <w:rPr>
                <w:sz w:val="22"/>
                <w:szCs w:val="22"/>
              </w:rPr>
            </w:pPr>
            <w:r w:rsidRPr="00590335">
              <w:rPr>
                <w:sz w:val="22"/>
                <w:szCs w:val="22"/>
              </w:rPr>
              <w:t>(i) cheltuieli de personal</w:t>
            </w:r>
          </w:p>
          <w:p w14:paraId="21CA8683" w14:textId="77777777" w:rsidR="00255292" w:rsidRPr="00590335" w:rsidRDefault="00255292" w:rsidP="00C66683">
            <w:pPr>
              <w:spacing w:after="120"/>
              <w:jc w:val="both"/>
              <w:rPr>
                <w:sz w:val="22"/>
                <w:szCs w:val="22"/>
              </w:rPr>
            </w:pPr>
            <w:r w:rsidRPr="00590335">
              <w:rPr>
                <w:sz w:val="22"/>
                <w:szCs w:val="22"/>
              </w:rPr>
              <w:t>(ii) bunuri şi servicii</w:t>
            </w:r>
          </w:p>
        </w:tc>
        <w:tc>
          <w:tcPr>
            <w:tcW w:w="1058" w:type="dxa"/>
          </w:tcPr>
          <w:p w14:paraId="71970828" w14:textId="48F4E717" w:rsidR="00254677" w:rsidRPr="00590335" w:rsidRDefault="0009373A" w:rsidP="00C66683">
            <w:pPr>
              <w:spacing w:after="120"/>
              <w:jc w:val="center"/>
              <w:rPr>
                <w:sz w:val="22"/>
                <w:szCs w:val="22"/>
              </w:rPr>
            </w:pPr>
            <w:r w:rsidRPr="00590335">
              <w:rPr>
                <w:sz w:val="22"/>
                <w:szCs w:val="22"/>
              </w:rPr>
              <w:t>-</w:t>
            </w:r>
          </w:p>
        </w:tc>
        <w:tc>
          <w:tcPr>
            <w:tcW w:w="1366" w:type="dxa"/>
          </w:tcPr>
          <w:p w14:paraId="4A20EC0E" w14:textId="77777777" w:rsidR="00255292" w:rsidRPr="00590335" w:rsidRDefault="00255292" w:rsidP="00C66683">
            <w:pPr>
              <w:spacing w:after="120"/>
              <w:jc w:val="center"/>
              <w:rPr>
                <w:sz w:val="22"/>
                <w:szCs w:val="22"/>
              </w:rPr>
            </w:pPr>
            <w:r w:rsidRPr="00590335">
              <w:rPr>
                <w:sz w:val="22"/>
                <w:szCs w:val="22"/>
              </w:rPr>
              <w:t>-</w:t>
            </w:r>
          </w:p>
        </w:tc>
        <w:tc>
          <w:tcPr>
            <w:tcW w:w="1466" w:type="dxa"/>
          </w:tcPr>
          <w:p w14:paraId="6C0CA2EF"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3BD3A076" w14:textId="77777777" w:rsidR="00255292" w:rsidRPr="00590335" w:rsidRDefault="00255292" w:rsidP="00C66683">
            <w:pPr>
              <w:spacing w:after="120"/>
              <w:jc w:val="center"/>
              <w:rPr>
                <w:sz w:val="22"/>
                <w:szCs w:val="22"/>
              </w:rPr>
            </w:pPr>
            <w:r w:rsidRPr="00590335">
              <w:rPr>
                <w:sz w:val="22"/>
                <w:szCs w:val="22"/>
              </w:rPr>
              <w:t>-</w:t>
            </w:r>
          </w:p>
        </w:tc>
        <w:tc>
          <w:tcPr>
            <w:tcW w:w="1135" w:type="dxa"/>
          </w:tcPr>
          <w:p w14:paraId="40BFAF9A" w14:textId="77777777" w:rsidR="00255292" w:rsidRPr="00590335" w:rsidRDefault="00255292" w:rsidP="00C66683">
            <w:pPr>
              <w:spacing w:after="120"/>
              <w:jc w:val="center"/>
              <w:rPr>
                <w:sz w:val="22"/>
                <w:szCs w:val="22"/>
              </w:rPr>
            </w:pPr>
            <w:r w:rsidRPr="00590335">
              <w:rPr>
                <w:sz w:val="22"/>
                <w:szCs w:val="22"/>
              </w:rPr>
              <w:t>-</w:t>
            </w:r>
          </w:p>
        </w:tc>
        <w:tc>
          <w:tcPr>
            <w:tcW w:w="1448" w:type="dxa"/>
          </w:tcPr>
          <w:p w14:paraId="14C06D88" w14:textId="77777777" w:rsidR="00255292" w:rsidRPr="00590335" w:rsidRDefault="00255292" w:rsidP="00C66683">
            <w:pPr>
              <w:spacing w:after="120"/>
              <w:jc w:val="center"/>
              <w:rPr>
                <w:sz w:val="22"/>
                <w:szCs w:val="22"/>
              </w:rPr>
            </w:pPr>
            <w:r w:rsidRPr="00590335">
              <w:rPr>
                <w:sz w:val="22"/>
                <w:szCs w:val="22"/>
              </w:rPr>
              <w:t>-</w:t>
            </w:r>
          </w:p>
        </w:tc>
      </w:tr>
      <w:tr w:rsidR="00255292" w:rsidRPr="00590335" w14:paraId="2822E8DE" w14:textId="77777777" w:rsidTr="005A13C5">
        <w:tc>
          <w:tcPr>
            <w:tcW w:w="2694" w:type="dxa"/>
          </w:tcPr>
          <w:p w14:paraId="0E54C1CB" w14:textId="77777777" w:rsidR="00255292" w:rsidRPr="00590335" w:rsidRDefault="00255292" w:rsidP="00C66683">
            <w:pPr>
              <w:spacing w:after="120"/>
              <w:jc w:val="both"/>
              <w:rPr>
                <w:sz w:val="22"/>
                <w:szCs w:val="22"/>
              </w:rPr>
            </w:pPr>
            <w:r w:rsidRPr="00590335">
              <w:rPr>
                <w:sz w:val="22"/>
                <w:szCs w:val="22"/>
              </w:rPr>
              <w:t>b) bugete locale:</w:t>
            </w:r>
          </w:p>
          <w:p w14:paraId="649B436A" w14:textId="77777777" w:rsidR="00255292" w:rsidRPr="00590335" w:rsidRDefault="00255292" w:rsidP="00C66683">
            <w:pPr>
              <w:spacing w:after="120"/>
              <w:jc w:val="both"/>
              <w:rPr>
                <w:sz w:val="22"/>
                <w:szCs w:val="22"/>
              </w:rPr>
            </w:pPr>
            <w:r w:rsidRPr="00590335">
              <w:rPr>
                <w:sz w:val="22"/>
                <w:szCs w:val="22"/>
              </w:rPr>
              <w:t>(i) cheltuieli de personal</w:t>
            </w:r>
          </w:p>
          <w:p w14:paraId="33761BF7" w14:textId="77777777" w:rsidR="00255292" w:rsidRPr="00590335" w:rsidRDefault="00255292" w:rsidP="00C66683">
            <w:pPr>
              <w:spacing w:after="120"/>
              <w:jc w:val="both"/>
              <w:rPr>
                <w:sz w:val="22"/>
                <w:szCs w:val="22"/>
              </w:rPr>
            </w:pPr>
            <w:r w:rsidRPr="00590335">
              <w:rPr>
                <w:sz w:val="22"/>
                <w:szCs w:val="22"/>
              </w:rPr>
              <w:t>(ii) bunuri şi servicii</w:t>
            </w:r>
          </w:p>
        </w:tc>
        <w:tc>
          <w:tcPr>
            <w:tcW w:w="1058" w:type="dxa"/>
          </w:tcPr>
          <w:p w14:paraId="551BA021"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1FDB042E" w14:textId="77777777" w:rsidR="00255292" w:rsidRPr="00590335" w:rsidRDefault="00255292" w:rsidP="00C66683">
            <w:pPr>
              <w:spacing w:after="120"/>
              <w:jc w:val="center"/>
              <w:rPr>
                <w:sz w:val="22"/>
                <w:szCs w:val="22"/>
              </w:rPr>
            </w:pPr>
            <w:r w:rsidRPr="00590335">
              <w:rPr>
                <w:sz w:val="22"/>
                <w:szCs w:val="22"/>
              </w:rPr>
              <w:t>-</w:t>
            </w:r>
          </w:p>
        </w:tc>
        <w:tc>
          <w:tcPr>
            <w:tcW w:w="1466" w:type="dxa"/>
          </w:tcPr>
          <w:p w14:paraId="303C2BA8"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0F63A8CC" w14:textId="77777777" w:rsidR="00255292" w:rsidRPr="00590335" w:rsidRDefault="00255292" w:rsidP="00C66683">
            <w:pPr>
              <w:spacing w:after="120"/>
              <w:jc w:val="center"/>
              <w:rPr>
                <w:sz w:val="22"/>
                <w:szCs w:val="22"/>
              </w:rPr>
            </w:pPr>
            <w:r w:rsidRPr="00590335">
              <w:rPr>
                <w:sz w:val="22"/>
                <w:szCs w:val="22"/>
              </w:rPr>
              <w:t>-</w:t>
            </w:r>
          </w:p>
        </w:tc>
        <w:tc>
          <w:tcPr>
            <w:tcW w:w="1135" w:type="dxa"/>
          </w:tcPr>
          <w:p w14:paraId="7D4F48A3" w14:textId="77777777" w:rsidR="00255292" w:rsidRPr="00590335" w:rsidRDefault="00255292" w:rsidP="00C66683">
            <w:pPr>
              <w:spacing w:after="120"/>
              <w:jc w:val="center"/>
              <w:rPr>
                <w:sz w:val="22"/>
                <w:szCs w:val="22"/>
              </w:rPr>
            </w:pPr>
            <w:r w:rsidRPr="00590335">
              <w:rPr>
                <w:sz w:val="22"/>
                <w:szCs w:val="22"/>
              </w:rPr>
              <w:t>-</w:t>
            </w:r>
          </w:p>
        </w:tc>
        <w:tc>
          <w:tcPr>
            <w:tcW w:w="1448" w:type="dxa"/>
          </w:tcPr>
          <w:p w14:paraId="65A28DB3" w14:textId="77777777" w:rsidR="00255292" w:rsidRPr="00590335" w:rsidRDefault="00255292" w:rsidP="00C66683">
            <w:pPr>
              <w:spacing w:after="120"/>
              <w:jc w:val="center"/>
              <w:rPr>
                <w:sz w:val="22"/>
                <w:szCs w:val="22"/>
              </w:rPr>
            </w:pPr>
            <w:r w:rsidRPr="00590335">
              <w:rPr>
                <w:sz w:val="22"/>
                <w:szCs w:val="22"/>
              </w:rPr>
              <w:t>-</w:t>
            </w:r>
          </w:p>
        </w:tc>
      </w:tr>
      <w:tr w:rsidR="00255292" w:rsidRPr="00590335" w14:paraId="4FF62006" w14:textId="77777777" w:rsidTr="005A13C5">
        <w:tc>
          <w:tcPr>
            <w:tcW w:w="2694" w:type="dxa"/>
          </w:tcPr>
          <w:p w14:paraId="5E4C4225" w14:textId="77777777" w:rsidR="00255292" w:rsidRPr="00590335" w:rsidRDefault="00255292" w:rsidP="00C66683">
            <w:pPr>
              <w:spacing w:after="120"/>
              <w:jc w:val="both"/>
              <w:rPr>
                <w:sz w:val="22"/>
                <w:szCs w:val="22"/>
              </w:rPr>
            </w:pPr>
            <w:r w:rsidRPr="00590335">
              <w:rPr>
                <w:sz w:val="22"/>
                <w:szCs w:val="22"/>
              </w:rPr>
              <w:t>c) bugetul asigurărilor sociale de stat:</w:t>
            </w:r>
          </w:p>
          <w:p w14:paraId="2E9279CE" w14:textId="77777777" w:rsidR="00255292" w:rsidRPr="00590335" w:rsidRDefault="00255292" w:rsidP="00C66683">
            <w:pPr>
              <w:spacing w:after="120"/>
              <w:jc w:val="both"/>
              <w:rPr>
                <w:sz w:val="22"/>
                <w:szCs w:val="22"/>
              </w:rPr>
            </w:pPr>
            <w:r w:rsidRPr="00590335">
              <w:rPr>
                <w:sz w:val="22"/>
                <w:szCs w:val="22"/>
              </w:rPr>
              <w:t>(i) cheltuieli de personal</w:t>
            </w:r>
          </w:p>
          <w:p w14:paraId="4457B10C" w14:textId="77777777" w:rsidR="00255292" w:rsidRPr="00590335" w:rsidRDefault="00255292" w:rsidP="00C66683">
            <w:pPr>
              <w:spacing w:after="120"/>
              <w:jc w:val="both"/>
              <w:rPr>
                <w:sz w:val="22"/>
                <w:szCs w:val="22"/>
              </w:rPr>
            </w:pPr>
            <w:r w:rsidRPr="00590335">
              <w:rPr>
                <w:sz w:val="22"/>
                <w:szCs w:val="22"/>
              </w:rPr>
              <w:t>(ii) bunuri şi servicii</w:t>
            </w:r>
          </w:p>
        </w:tc>
        <w:tc>
          <w:tcPr>
            <w:tcW w:w="1058" w:type="dxa"/>
          </w:tcPr>
          <w:p w14:paraId="732FF1B2"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11583FCA" w14:textId="77777777" w:rsidR="00255292" w:rsidRPr="00590335" w:rsidRDefault="00255292" w:rsidP="00C66683">
            <w:pPr>
              <w:spacing w:after="120"/>
              <w:jc w:val="center"/>
              <w:rPr>
                <w:sz w:val="22"/>
                <w:szCs w:val="22"/>
              </w:rPr>
            </w:pPr>
            <w:r w:rsidRPr="00590335">
              <w:rPr>
                <w:sz w:val="22"/>
                <w:szCs w:val="22"/>
              </w:rPr>
              <w:t>-</w:t>
            </w:r>
          </w:p>
        </w:tc>
        <w:tc>
          <w:tcPr>
            <w:tcW w:w="1466" w:type="dxa"/>
          </w:tcPr>
          <w:p w14:paraId="0193E142"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21354F49" w14:textId="77777777" w:rsidR="00255292" w:rsidRPr="00590335" w:rsidRDefault="00255292" w:rsidP="00C66683">
            <w:pPr>
              <w:spacing w:after="120"/>
              <w:jc w:val="center"/>
              <w:rPr>
                <w:sz w:val="22"/>
                <w:szCs w:val="22"/>
              </w:rPr>
            </w:pPr>
            <w:r w:rsidRPr="00590335">
              <w:rPr>
                <w:sz w:val="22"/>
                <w:szCs w:val="22"/>
              </w:rPr>
              <w:t>-</w:t>
            </w:r>
          </w:p>
        </w:tc>
        <w:tc>
          <w:tcPr>
            <w:tcW w:w="1135" w:type="dxa"/>
          </w:tcPr>
          <w:p w14:paraId="152F60BD" w14:textId="77777777" w:rsidR="00255292" w:rsidRPr="00590335" w:rsidRDefault="00255292" w:rsidP="00C66683">
            <w:pPr>
              <w:spacing w:after="120"/>
              <w:jc w:val="center"/>
              <w:rPr>
                <w:sz w:val="22"/>
                <w:szCs w:val="22"/>
              </w:rPr>
            </w:pPr>
            <w:r w:rsidRPr="00590335">
              <w:rPr>
                <w:sz w:val="22"/>
                <w:szCs w:val="22"/>
              </w:rPr>
              <w:t>-</w:t>
            </w:r>
          </w:p>
        </w:tc>
        <w:tc>
          <w:tcPr>
            <w:tcW w:w="1448" w:type="dxa"/>
          </w:tcPr>
          <w:p w14:paraId="559F00FF" w14:textId="77777777" w:rsidR="00255292" w:rsidRPr="00590335" w:rsidRDefault="00255292" w:rsidP="00C66683">
            <w:pPr>
              <w:spacing w:after="120"/>
              <w:jc w:val="center"/>
              <w:rPr>
                <w:sz w:val="22"/>
                <w:szCs w:val="22"/>
              </w:rPr>
            </w:pPr>
            <w:r w:rsidRPr="00590335">
              <w:rPr>
                <w:sz w:val="22"/>
                <w:szCs w:val="22"/>
              </w:rPr>
              <w:t>-</w:t>
            </w:r>
          </w:p>
        </w:tc>
      </w:tr>
      <w:tr w:rsidR="00255292" w:rsidRPr="00590335" w14:paraId="58E7E9D5" w14:textId="77777777" w:rsidTr="005A13C5">
        <w:tc>
          <w:tcPr>
            <w:tcW w:w="2694" w:type="dxa"/>
          </w:tcPr>
          <w:p w14:paraId="30375F32" w14:textId="77777777" w:rsidR="00255292" w:rsidRPr="00590335" w:rsidRDefault="00255292" w:rsidP="00C66683">
            <w:pPr>
              <w:spacing w:after="120"/>
              <w:jc w:val="both"/>
              <w:rPr>
                <w:sz w:val="22"/>
                <w:szCs w:val="22"/>
              </w:rPr>
            </w:pPr>
            <w:r w:rsidRPr="00590335">
              <w:rPr>
                <w:sz w:val="22"/>
                <w:szCs w:val="22"/>
              </w:rPr>
              <w:t>d) alte tipuri de cheltuieli</w:t>
            </w:r>
          </w:p>
          <w:p w14:paraId="574BD2E9" w14:textId="77777777" w:rsidR="00255292" w:rsidRPr="00590335" w:rsidRDefault="00255292" w:rsidP="00C66683">
            <w:pPr>
              <w:spacing w:after="120"/>
              <w:jc w:val="both"/>
              <w:rPr>
                <w:sz w:val="22"/>
                <w:szCs w:val="22"/>
              </w:rPr>
            </w:pPr>
            <w:r w:rsidRPr="00590335">
              <w:rPr>
                <w:sz w:val="22"/>
                <w:szCs w:val="22"/>
              </w:rPr>
              <w:t>(Se va menționa natura acestora.)</w:t>
            </w:r>
          </w:p>
        </w:tc>
        <w:tc>
          <w:tcPr>
            <w:tcW w:w="1058" w:type="dxa"/>
          </w:tcPr>
          <w:p w14:paraId="12E71501"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461D9178" w14:textId="77777777" w:rsidR="00255292" w:rsidRPr="00590335" w:rsidRDefault="00255292" w:rsidP="00C66683">
            <w:pPr>
              <w:spacing w:after="120"/>
              <w:jc w:val="center"/>
              <w:rPr>
                <w:sz w:val="22"/>
                <w:szCs w:val="22"/>
              </w:rPr>
            </w:pPr>
            <w:r w:rsidRPr="00590335">
              <w:rPr>
                <w:sz w:val="22"/>
                <w:szCs w:val="22"/>
              </w:rPr>
              <w:t>-</w:t>
            </w:r>
          </w:p>
        </w:tc>
        <w:tc>
          <w:tcPr>
            <w:tcW w:w="1466" w:type="dxa"/>
          </w:tcPr>
          <w:p w14:paraId="776274B8"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1724A5AA" w14:textId="77777777" w:rsidR="00255292" w:rsidRPr="00590335" w:rsidRDefault="00255292" w:rsidP="00C66683">
            <w:pPr>
              <w:spacing w:after="120"/>
              <w:jc w:val="center"/>
              <w:rPr>
                <w:sz w:val="22"/>
                <w:szCs w:val="22"/>
              </w:rPr>
            </w:pPr>
            <w:r w:rsidRPr="00590335">
              <w:rPr>
                <w:sz w:val="22"/>
                <w:szCs w:val="22"/>
              </w:rPr>
              <w:t>-</w:t>
            </w:r>
          </w:p>
        </w:tc>
        <w:tc>
          <w:tcPr>
            <w:tcW w:w="1135" w:type="dxa"/>
          </w:tcPr>
          <w:p w14:paraId="73F4371B" w14:textId="77777777" w:rsidR="00255292" w:rsidRPr="00590335" w:rsidRDefault="00255292" w:rsidP="00C66683">
            <w:pPr>
              <w:spacing w:after="120"/>
              <w:jc w:val="center"/>
              <w:rPr>
                <w:sz w:val="22"/>
                <w:szCs w:val="22"/>
              </w:rPr>
            </w:pPr>
            <w:r w:rsidRPr="00590335">
              <w:rPr>
                <w:sz w:val="22"/>
                <w:szCs w:val="22"/>
              </w:rPr>
              <w:t>-</w:t>
            </w:r>
          </w:p>
        </w:tc>
        <w:tc>
          <w:tcPr>
            <w:tcW w:w="1448" w:type="dxa"/>
          </w:tcPr>
          <w:p w14:paraId="7AF30A87" w14:textId="77777777" w:rsidR="00255292" w:rsidRPr="00590335" w:rsidRDefault="00255292" w:rsidP="00C66683">
            <w:pPr>
              <w:spacing w:after="120"/>
              <w:jc w:val="center"/>
              <w:rPr>
                <w:sz w:val="22"/>
                <w:szCs w:val="22"/>
              </w:rPr>
            </w:pPr>
            <w:r w:rsidRPr="00590335">
              <w:rPr>
                <w:sz w:val="22"/>
                <w:szCs w:val="22"/>
              </w:rPr>
              <w:t>-</w:t>
            </w:r>
          </w:p>
        </w:tc>
      </w:tr>
      <w:tr w:rsidR="00255292" w:rsidRPr="00590335" w14:paraId="23A91D03" w14:textId="77777777" w:rsidTr="005A13C5">
        <w:tc>
          <w:tcPr>
            <w:tcW w:w="2694" w:type="dxa"/>
          </w:tcPr>
          <w:p w14:paraId="540275E8" w14:textId="77777777" w:rsidR="00255292" w:rsidRPr="00590335" w:rsidRDefault="00255292" w:rsidP="00C66683">
            <w:pPr>
              <w:spacing w:after="120"/>
              <w:jc w:val="both"/>
              <w:rPr>
                <w:b/>
                <w:bCs/>
                <w:sz w:val="22"/>
                <w:szCs w:val="22"/>
              </w:rPr>
            </w:pPr>
            <w:r w:rsidRPr="00590335">
              <w:rPr>
                <w:b/>
                <w:bCs/>
                <w:sz w:val="22"/>
                <w:szCs w:val="22"/>
              </w:rPr>
              <w:t>4.3. Impact financiar, plus/minus, din care:</w:t>
            </w:r>
          </w:p>
          <w:p w14:paraId="7D7223D6" w14:textId="77777777" w:rsidR="00255292" w:rsidRPr="00590335" w:rsidRDefault="00255292" w:rsidP="00C66683">
            <w:pPr>
              <w:spacing w:after="120"/>
              <w:jc w:val="both"/>
              <w:rPr>
                <w:sz w:val="22"/>
                <w:szCs w:val="22"/>
              </w:rPr>
            </w:pPr>
            <w:r w:rsidRPr="00590335">
              <w:rPr>
                <w:sz w:val="22"/>
                <w:szCs w:val="22"/>
              </w:rPr>
              <w:t>a) buget de stat</w:t>
            </w:r>
          </w:p>
        </w:tc>
        <w:tc>
          <w:tcPr>
            <w:tcW w:w="1058" w:type="dxa"/>
          </w:tcPr>
          <w:p w14:paraId="1ED5D1CA"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0BDDEE67" w14:textId="77777777" w:rsidR="00255292" w:rsidRPr="00590335" w:rsidRDefault="00255292" w:rsidP="00C66683">
            <w:pPr>
              <w:spacing w:after="120"/>
              <w:jc w:val="center"/>
              <w:rPr>
                <w:sz w:val="22"/>
                <w:szCs w:val="22"/>
              </w:rPr>
            </w:pPr>
            <w:r w:rsidRPr="00590335">
              <w:rPr>
                <w:sz w:val="22"/>
                <w:szCs w:val="22"/>
              </w:rPr>
              <w:t>-</w:t>
            </w:r>
          </w:p>
        </w:tc>
        <w:tc>
          <w:tcPr>
            <w:tcW w:w="1466" w:type="dxa"/>
          </w:tcPr>
          <w:p w14:paraId="5C0FABD9"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60409A24" w14:textId="77777777" w:rsidR="00255292" w:rsidRPr="00590335" w:rsidRDefault="00255292" w:rsidP="00C66683">
            <w:pPr>
              <w:spacing w:after="120"/>
              <w:jc w:val="center"/>
              <w:rPr>
                <w:sz w:val="22"/>
                <w:szCs w:val="22"/>
              </w:rPr>
            </w:pPr>
            <w:r w:rsidRPr="00590335">
              <w:rPr>
                <w:sz w:val="22"/>
                <w:szCs w:val="22"/>
              </w:rPr>
              <w:t>-</w:t>
            </w:r>
          </w:p>
        </w:tc>
        <w:tc>
          <w:tcPr>
            <w:tcW w:w="1135" w:type="dxa"/>
          </w:tcPr>
          <w:p w14:paraId="29665004" w14:textId="77777777" w:rsidR="00255292" w:rsidRPr="00590335" w:rsidRDefault="00255292" w:rsidP="00C66683">
            <w:pPr>
              <w:spacing w:after="120"/>
              <w:jc w:val="center"/>
              <w:rPr>
                <w:sz w:val="22"/>
                <w:szCs w:val="22"/>
              </w:rPr>
            </w:pPr>
            <w:r w:rsidRPr="00590335">
              <w:rPr>
                <w:sz w:val="22"/>
                <w:szCs w:val="22"/>
              </w:rPr>
              <w:t>-</w:t>
            </w:r>
          </w:p>
        </w:tc>
        <w:tc>
          <w:tcPr>
            <w:tcW w:w="1448" w:type="dxa"/>
          </w:tcPr>
          <w:p w14:paraId="5518635F" w14:textId="77777777" w:rsidR="00255292" w:rsidRPr="00590335" w:rsidRDefault="00255292" w:rsidP="00C66683">
            <w:pPr>
              <w:spacing w:after="120"/>
              <w:jc w:val="center"/>
              <w:rPr>
                <w:sz w:val="22"/>
                <w:szCs w:val="22"/>
              </w:rPr>
            </w:pPr>
            <w:r w:rsidRPr="00590335">
              <w:rPr>
                <w:sz w:val="22"/>
                <w:szCs w:val="22"/>
              </w:rPr>
              <w:t>-</w:t>
            </w:r>
          </w:p>
        </w:tc>
      </w:tr>
      <w:tr w:rsidR="00255292" w:rsidRPr="00590335" w14:paraId="5B081FA9" w14:textId="77777777" w:rsidTr="005A13C5">
        <w:tc>
          <w:tcPr>
            <w:tcW w:w="2694" w:type="dxa"/>
          </w:tcPr>
          <w:p w14:paraId="29CACC57" w14:textId="77777777" w:rsidR="00255292" w:rsidRPr="00590335" w:rsidRDefault="00255292" w:rsidP="00C66683">
            <w:pPr>
              <w:spacing w:after="120"/>
              <w:jc w:val="both"/>
              <w:rPr>
                <w:sz w:val="22"/>
                <w:szCs w:val="22"/>
              </w:rPr>
            </w:pPr>
            <w:r w:rsidRPr="00590335">
              <w:rPr>
                <w:sz w:val="22"/>
                <w:szCs w:val="22"/>
              </w:rPr>
              <w:t>b) bugete locale</w:t>
            </w:r>
          </w:p>
        </w:tc>
        <w:tc>
          <w:tcPr>
            <w:tcW w:w="1058" w:type="dxa"/>
          </w:tcPr>
          <w:p w14:paraId="640DEDAF"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056448BD" w14:textId="77777777" w:rsidR="00255292" w:rsidRPr="00590335" w:rsidRDefault="00255292" w:rsidP="00C66683">
            <w:pPr>
              <w:spacing w:after="120"/>
              <w:jc w:val="center"/>
              <w:rPr>
                <w:sz w:val="22"/>
                <w:szCs w:val="22"/>
              </w:rPr>
            </w:pPr>
            <w:r w:rsidRPr="00590335">
              <w:rPr>
                <w:sz w:val="22"/>
                <w:szCs w:val="22"/>
              </w:rPr>
              <w:t>-</w:t>
            </w:r>
          </w:p>
        </w:tc>
        <w:tc>
          <w:tcPr>
            <w:tcW w:w="1466" w:type="dxa"/>
          </w:tcPr>
          <w:p w14:paraId="73473F4B"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0F5408C6" w14:textId="77777777" w:rsidR="00255292" w:rsidRPr="00590335" w:rsidRDefault="00255292" w:rsidP="00C66683">
            <w:pPr>
              <w:spacing w:after="120"/>
              <w:jc w:val="center"/>
              <w:rPr>
                <w:sz w:val="22"/>
                <w:szCs w:val="22"/>
              </w:rPr>
            </w:pPr>
            <w:r w:rsidRPr="00590335">
              <w:rPr>
                <w:sz w:val="22"/>
                <w:szCs w:val="22"/>
              </w:rPr>
              <w:t>-</w:t>
            </w:r>
          </w:p>
        </w:tc>
        <w:tc>
          <w:tcPr>
            <w:tcW w:w="1135" w:type="dxa"/>
          </w:tcPr>
          <w:p w14:paraId="25E15665" w14:textId="77777777" w:rsidR="00255292" w:rsidRPr="00590335" w:rsidRDefault="00255292" w:rsidP="00C66683">
            <w:pPr>
              <w:spacing w:after="120"/>
              <w:jc w:val="center"/>
              <w:rPr>
                <w:sz w:val="22"/>
                <w:szCs w:val="22"/>
              </w:rPr>
            </w:pPr>
            <w:r w:rsidRPr="00590335">
              <w:rPr>
                <w:sz w:val="22"/>
                <w:szCs w:val="22"/>
              </w:rPr>
              <w:t>-</w:t>
            </w:r>
          </w:p>
        </w:tc>
        <w:tc>
          <w:tcPr>
            <w:tcW w:w="1448" w:type="dxa"/>
          </w:tcPr>
          <w:p w14:paraId="50BC1896" w14:textId="77777777" w:rsidR="00255292" w:rsidRPr="00590335" w:rsidRDefault="00255292" w:rsidP="00C66683">
            <w:pPr>
              <w:spacing w:after="120"/>
              <w:jc w:val="center"/>
              <w:rPr>
                <w:sz w:val="22"/>
                <w:szCs w:val="22"/>
              </w:rPr>
            </w:pPr>
            <w:r w:rsidRPr="00590335">
              <w:rPr>
                <w:sz w:val="22"/>
                <w:szCs w:val="22"/>
              </w:rPr>
              <w:t>-</w:t>
            </w:r>
          </w:p>
        </w:tc>
      </w:tr>
      <w:tr w:rsidR="00255292" w:rsidRPr="00590335" w14:paraId="1AB1B598" w14:textId="77777777" w:rsidTr="005A13C5">
        <w:tc>
          <w:tcPr>
            <w:tcW w:w="2694" w:type="dxa"/>
          </w:tcPr>
          <w:p w14:paraId="61B3892F" w14:textId="77777777" w:rsidR="00255292" w:rsidRPr="00590335" w:rsidRDefault="00255292" w:rsidP="00C66683">
            <w:pPr>
              <w:spacing w:after="120"/>
              <w:jc w:val="both"/>
              <w:rPr>
                <w:b/>
                <w:bCs/>
                <w:sz w:val="22"/>
                <w:szCs w:val="22"/>
              </w:rPr>
            </w:pPr>
            <w:r w:rsidRPr="00590335">
              <w:rPr>
                <w:b/>
                <w:bCs/>
                <w:sz w:val="22"/>
                <w:szCs w:val="22"/>
              </w:rPr>
              <w:t>4.4. Propuneri pentru acoperirea creşterii cheltuielilor bugetare</w:t>
            </w:r>
          </w:p>
        </w:tc>
        <w:tc>
          <w:tcPr>
            <w:tcW w:w="1058" w:type="dxa"/>
          </w:tcPr>
          <w:p w14:paraId="3FA2B467"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5FEFB593" w14:textId="77777777" w:rsidR="00255292" w:rsidRPr="00590335" w:rsidRDefault="00255292" w:rsidP="00C66683">
            <w:pPr>
              <w:spacing w:after="120"/>
              <w:jc w:val="center"/>
              <w:rPr>
                <w:sz w:val="22"/>
                <w:szCs w:val="22"/>
              </w:rPr>
            </w:pPr>
            <w:r w:rsidRPr="00590335">
              <w:rPr>
                <w:sz w:val="22"/>
                <w:szCs w:val="22"/>
              </w:rPr>
              <w:t>-</w:t>
            </w:r>
          </w:p>
        </w:tc>
        <w:tc>
          <w:tcPr>
            <w:tcW w:w="1466" w:type="dxa"/>
          </w:tcPr>
          <w:p w14:paraId="0A15A04C"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7AB3398E" w14:textId="77777777" w:rsidR="00255292" w:rsidRPr="00590335" w:rsidRDefault="00255292" w:rsidP="00C66683">
            <w:pPr>
              <w:spacing w:after="120"/>
              <w:jc w:val="center"/>
              <w:rPr>
                <w:sz w:val="22"/>
                <w:szCs w:val="22"/>
              </w:rPr>
            </w:pPr>
            <w:r w:rsidRPr="00590335">
              <w:rPr>
                <w:sz w:val="22"/>
                <w:szCs w:val="22"/>
              </w:rPr>
              <w:t>-</w:t>
            </w:r>
          </w:p>
        </w:tc>
        <w:tc>
          <w:tcPr>
            <w:tcW w:w="1135" w:type="dxa"/>
          </w:tcPr>
          <w:p w14:paraId="48B3F465" w14:textId="77777777" w:rsidR="00255292" w:rsidRPr="00590335" w:rsidRDefault="00255292" w:rsidP="00C66683">
            <w:pPr>
              <w:spacing w:after="120"/>
              <w:jc w:val="center"/>
              <w:rPr>
                <w:sz w:val="22"/>
                <w:szCs w:val="22"/>
              </w:rPr>
            </w:pPr>
            <w:r w:rsidRPr="00590335">
              <w:rPr>
                <w:sz w:val="22"/>
                <w:szCs w:val="22"/>
              </w:rPr>
              <w:t>-</w:t>
            </w:r>
          </w:p>
        </w:tc>
        <w:tc>
          <w:tcPr>
            <w:tcW w:w="1448" w:type="dxa"/>
          </w:tcPr>
          <w:p w14:paraId="3AB3B19D" w14:textId="77777777" w:rsidR="00255292" w:rsidRPr="00590335" w:rsidRDefault="00255292" w:rsidP="00C66683">
            <w:pPr>
              <w:spacing w:after="120"/>
              <w:jc w:val="center"/>
              <w:rPr>
                <w:sz w:val="22"/>
                <w:szCs w:val="22"/>
              </w:rPr>
            </w:pPr>
            <w:r w:rsidRPr="00590335">
              <w:rPr>
                <w:sz w:val="22"/>
                <w:szCs w:val="22"/>
              </w:rPr>
              <w:t>-</w:t>
            </w:r>
          </w:p>
        </w:tc>
      </w:tr>
      <w:tr w:rsidR="00255292" w:rsidRPr="00590335" w14:paraId="095F6AD9" w14:textId="77777777" w:rsidTr="005A13C5">
        <w:tc>
          <w:tcPr>
            <w:tcW w:w="2694" w:type="dxa"/>
          </w:tcPr>
          <w:p w14:paraId="2E904EBA" w14:textId="77777777" w:rsidR="00255292" w:rsidRPr="00590335" w:rsidRDefault="00255292" w:rsidP="00C66683">
            <w:pPr>
              <w:spacing w:after="120"/>
              <w:jc w:val="both"/>
              <w:rPr>
                <w:b/>
                <w:bCs/>
                <w:sz w:val="22"/>
                <w:szCs w:val="22"/>
              </w:rPr>
            </w:pPr>
            <w:r w:rsidRPr="00590335">
              <w:rPr>
                <w:b/>
                <w:bCs/>
                <w:sz w:val="22"/>
                <w:szCs w:val="22"/>
              </w:rPr>
              <w:t>4.5. Propuneri pentru a compensa reducerea veniturilor bugetare</w:t>
            </w:r>
          </w:p>
        </w:tc>
        <w:tc>
          <w:tcPr>
            <w:tcW w:w="1058" w:type="dxa"/>
          </w:tcPr>
          <w:p w14:paraId="71290C7C"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4ED0E5DC" w14:textId="77777777" w:rsidR="00255292" w:rsidRPr="00590335" w:rsidRDefault="00255292" w:rsidP="00C66683">
            <w:pPr>
              <w:spacing w:after="120"/>
              <w:jc w:val="center"/>
              <w:rPr>
                <w:sz w:val="22"/>
                <w:szCs w:val="22"/>
              </w:rPr>
            </w:pPr>
            <w:r w:rsidRPr="00590335">
              <w:rPr>
                <w:sz w:val="22"/>
                <w:szCs w:val="22"/>
              </w:rPr>
              <w:t>-</w:t>
            </w:r>
          </w:p>
        </w:tc>
        <w:tc>
          <w:tcPr>
            <w:tcW w:w="1466" w:type="dxa"/>
          </w:tcPr>
          <w:p w14:paraId="3F0F09A8"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3EF2389D" w14:textId="77777777" w:rsidR="00255292" w:rsidRPr="00590335" w:rsidRDefault="00255292" w:rsidP="00C66683">
            <w:pPr>
              <w:spacing w:after="120"/>
              <w:jc w:val="center"/>
              <w:rPr>
                <w:sz w:val="22"/>
                <w:szCs w:val="22"/>
              </w:rPr>
            </w:pPr>
            <w:r w:rsidRPr="00590335">
              <w:rPr>
                <w:sz w:val="22"/>
                <w:szCs w:val="22"/>
              </w:rPr>
              <w:t>-</w:t>
            </w:r>
          </w:p>
        </w:tc>
        <w:tc>
          <w:tcPr>
            <w:tcW w:w="1135" w:type="dxa"/>
          </w:tcPr>
          <w:p w14:paraId="6D72BCEB" w14:textId="77777777" w:rsidR="00255292" w:rsidRPr="00590335" w:rsidRDefault="00255292" w:rsidP="00C66683">
            <w:pPr>
              <w:spacing w:after="120"/>
              <w:jc w:val="center"/>
              <w:rPr>
                <w:sz w:val="22"/>
                <w:szCs w:val="22"/>
              </w:rPr>
            </w:pPr>
            <w:r w:rsidRPr="00590335">
              <w:rPr>
                <w:sz w:val="22"/>
                <w:szCs w:val="22"/>
              </w:rPr>
              <w:t>-</w:t>
            </w:r>
          </w:p>
        </w:tc>
        <w:tc>
          <w:tcPr>
            <w:tcW w:w="1448" w:type="dxa"/>
          </w:tcPr>
          <w:p w14:paraId="65C67410" w14:textId="77777777" w:rsidR="00255292" w:rsidRPr="00590335" w:rsidRDefault="00255292" w:rsidP="00C66683">
            <w:pPr>
              <w:spacing w:after="120"/>
              <w:jc w:val="center"/>
              <w:rPr>
                <w:sz w:val="22"/>
                <w:szCs w:val="22"/>
              </w:rPr>
            </w:pPr>
            <w:r w:rsidRPr="00590335">
              <w:rPr>
                <w:sz w:val="22"/>
                <w:szCs w:val="22"/>
              </w:rPr>
              <w:t>-</w:t>
            </w:r>
          </w:p>
        </w:tc>
      </w:tr>
      <w:tr w:rsidR="00255292" w:rsidRPr="00590335" w14:paraId="5002850B" w14:textId="77777777" w:rsidTr="005A13C5">
        <w:tc>
          <w:tcPr>
            <w:tcW w:w="2694" w:type="dxa"/>
          </w:tcPr>
          <w:p w14:paraId="2C92C2ED" w14:textId="77777777" w:rsidR="00255292" w:rsidRPr="00590335" w:rsidRDefault="00255292" w:rsidP="00C66683">
            <w:pPr>
              <w:spacing w:after="120"/>
              <w:jc w:val="both"/>
              <w:rPr>
                <w:b/>
                <w:bCs/>
                <w:sz w:val="22"/>
                <w:szCs w:val="22"/>
              </w:rPr>
            </w:pPr>
            <w:r w:rsidRPr="00590335">
              <w:rPr>
                <w:b/>
                <w:bCs/>
                <w:sz w:val="22"/>
                <w:szCs w:val="22"/>
              </w:rPr>
              <w:t>4.6. Calcule detaliate privind fundamentarea modificărilor  veniturilor şi/sau cheltuielilor bugetare</w:t>
            </w:r>
          </w:p>
        </w:tc>
        <w:tc>
          <w:tcPr>
            <w:tcW w:w="1058" w:type="dxa"/>
          </w:tcPr>
          <w:p w14:paraId="154CCB80"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3E27B954" w14:textId="77777777" w:rsidR="00255292" w:rsidRPr="00590335" w:rsidRDefault="00255292" w:rsidP="00C66683">
            <w:pPr>
              <w:spacing w:after="120"/>
              <w:jc w:val="center"/>
              <w:rPr>
                <w:sz w:val="22"/>
                <w:szCs w:val="22"/>
              </w:rPr>
            </w:pPr>
            <w:r w:rsidRPr="00590335">
              <w:rPr>
                <w:sz w:val="22"/>
                <w:szCs w:val="22"/>
              </w:rPr>
              <w:t>-</w:t>
            </w:r>
          </w:p>
        </w:tc>
        <w:tc>
          <w:tcPr>
            <w:tcW w:w="1466" w:type="dxa"/>
          </w:tcPr>
          <w:p w14:paraId="14FD9E77" w14:textId="77777777" w:rsidR="00255292" w:rsidRPr="00590335" w:rsidRDefault="00255292" w:rsidP="00C66683">
            <w:pPr>
              <w:spacing w:after="120"/>
              <w:jc w:val="center"/>
              <w:rPr>
                <w:sz w:val="22"/>
                <w:szCs w:val="22"/>
              </w:rPr>
            </w:pPr>
            <w:r w:rsidRPr="00590335">
              <w:rPr>
                <w:sz w:val="22"/>
                <w:szCs w:val="22"/>
              </w:rPr>
              <w:t>-</w:t>
            </w:r>
          </w:p>
        </w:tc>
        <w:tc>
          <w:tcPr>
            <w:tcW w:w="1366" w:type="dxa"/>
          </w:tcPr>
          <w:p w14:paraId="60B4F1A0" w14:textId="77777777" w:rsidR="00255292" w:rsidRPr="00590335" w:rsidRDefault="00255292" w:rsidP="00C66683">
            <w:pPr>
              <w:spacing w:after="120"/>
              <w:jc w:val="center"/>
              <w:rPr>
                <w:sz w:val="22"/>
                <w:szCs w:val="22"/>
              </w:rPr>
            </w:pPr>
            <w:r w:rsidRPr="00590335">
              <w:rPr>
                <w:sz w:val="22"/>
                <w:szCs w:val="22"/>
              </w:rPr>
              <w:t>-</w:t>
            </w:r>
          </w:p>
        </w:tc>
        <w:tc>
          <w:tcPr>
            <w:tcW w:w="1135" w:type="dxa"/>
          </w:tcPr>
          <w:p w14:paraId="18A68262" w14:textId="77777777" w:rsidR="00255292" w:rsidRPr="00590335" w:rsidRDefault="00255292" w:rsidP="00C66683">
            <w:pPr>
              <w:spacing w:after="120"/>
              <w:jc w:val="center"/>
              <w:rPr>
                <w:sz w:val="22"/>
                <w:szCs w:val="22"/>
              </w:rPr>
            </w:pPr>
            <w:r w:rsidRPr="00590335">
              <w:rPr>
                <w:sz w:val="22"/>
                <w:szCs w:val="22"/>
              </w:rPr>
              <w:t>-</w:t>
            </w:r>
          </w:p>
        </w:tc>
        <w:tc>
          <w:tcPr>
            <w:tcW w:w="1448" w:type="dxa"/>
          </w:tcPr>
          <w:p w14:paraId="46E4BBB9" w14:textId="77777777" w:rsidR="00255292" w:rsidRPr="00590335" w:rsidRDefault="00255292" w:rsidP="00C66683">
            <w:pPr>
              <w:spacing w:after="120"/>
              <w:jc w:val="center"/>
              <w:rPr>
                <w:sz w:val="22"/>
                <w:szCs w:val="22"/>
              </w:rPr>
            </w:pPr>
            <w:r w:rsidRPr="00590335">
              <w:rPr>
                <w:sz w:val="22"/>
                <w:szCs w:val="22"/>
              </w:rPr>
              <w:t>-</w:t>
            </w:r>
          </w:p>
        </w:tc>
      </w:tr>
      <w:tr w:rsidR="00255292" w:rsidRPr="00590335" w14:paraId="61358198" w14:textId="77777777" w:rsidTr="006A42CB">
        <w:tc>
          <w:tcPr>
            <w:tcW w:w="10533" w:type="dxa"/>
            <w:gridSpan w:val="7"/>
          </w:tcPr>
          <w:p w14:paraId="07519E60" w14:textId="4E673429" w:rsidR="00255292" w:rsidRPr="00590335" w:rsidRDefault="00255292" w:rsidP="00147912">
            <w:pPr>
              <w:spacing w:after="120"/>
              <w:jc w:val="both"/>
              <w:rPr>
                <w:sz w:val="22"/>
                <w:szCs w:val="22"/>
              </w:rPr>
            </w:pPr>
            <w:r w:rsidRPr="00590335">
              <w:rPr>
                <w:b/>
                <w:bCs/>
                <w:sz w:val="22"/>
                <w:szCs w:val="22"/>
              </w:rPr>
              <w:t>4.7. Prezentarea, în cazul proiectelor de acte normative a căror adaptare atrage majorarea cheltuielilor bugetare, a următoarelor documente:</w:t>
            </w:r>
          </w:p>
        </w:tc>
      </w:tr>
      <w:tr w:rsidR="00255292" w:rsidRPr="00590335" w14:paraId="226AE78E" w14:textId="77777777" w:rsidTr="00147912">
        <w:trPr>
          <w:trHeight w:val="396"/>
        </w:trPr>
        <w:tc>
          <w:tcPr>
            <w:tcW w:w="10533" w:type="dxa"/>
            <w:gridSpan w:val="7"/>
          </w:tcPr>
          <w:p w14:paraId="000C8AF3" w14:textId="77777777" w:rsidR="00255292" w:rsidRPr="00590335" w:rsidRDefault="00255292" w:rsidP="00147912">
            <w:pPr>
              <w:spacing w:after="120"/>
              <w:rPr>
                <w:b/>
                <w:bCs/>
                <w:noProof/>
                <w:sz w:val="22"/>
                <w:szCs w:val="22"/>
              </w:rPr>
            </w:pPr>
            <w:r w:rsidRPr="00590335">
              <w:rPr>
                <w:b/>
                <w:bCs/>
                <w:noProof/>
                <w:sz w:val="22"/>
                <w:szCs w:val="22"/>
              </w:rPr>
              <w:t>4.8. Alte informații</w:t>
            </w:r>
          </w:p>
          <w:p w14:paraId="20339150" w14:textId="77777777" w:rsidR="007431BB" w:rsidRPr="00590335" w:rsidRDefault="007431BB" w:rsidP="007431BB">
            <w:pPr>
              <w:spacing w:line="276" w:lineRule="auto"/>
              <w:jc w:val="both"/>
              <w:rPr>
                <w:sz w:val="22"/>
                <w:szCs w:val="22"/>
              </w:rPr>
            </w:pPr>
            <w:r w:rsidRPr="00590335">
              <w:rPr>
                <w:sz w:val="22"/>
                <w:szCs w:val="22"/>
              </w:rPr>
              <w:t>Achiziția este finanțată din PNRR, iar sumele sunt prevăzute la titlul 60 în bugetul Ministerului Educației, în valoare de  983.900 mii lei, contravaloarea a 200 milioane Euro calculată la cursul de schimb al Băncii Centrale Europene din data de 31.05.2021 de 4,9195 lei pentru un euro, conform Acordului de tip operațional încheiat între Comisia Europeană și România.</w:t>
            </w:r>
          </w:p>
          <w:p w14:paraId="560895E2" w14:textId="368DFC15" w:rsidR="007431BB" w:rsidRPr="00590335" w:rsidRDefault="007431BB" w:rsidP="00147912">
            <w:pPr>
              <w:spacing w:after="120"/>
              <w:rPr>
                <w:noProof/>
                <w:sz w:val="22"/>
                <w:szCs w:val="22"/>
              </w:rPr>
            </w:pPr>
          </w:p>
        </w:tc>
      </w:tr>
    </w:tbl>
    <w:p w14:paraId="7A41EE00" w14:textId="77777777" w:rsidR="00255292" w:rsidRPr="00F73AB8" w:rsidRDefault="00255292" w:rsidP="008838DB">
      <w:pPr>
        <w:spacing w:after="120"/>
        <w:jc w:val="both"/>
        <w:rPr>
          <w:b/>
        </w:rPr>
      </w:pPr>
      <w:r w:rsidRPr="00F73AB8">
        <w:rPr>
          <w:b/>
        </w:rPr>
        <w:t xml:space="preserve">   </w:t>
      </w:r>
    </w:p>
    <w:p w14:paraId="4E5477C6" w14:textId="77777777" w:rsidR="00255292" w:rsidRPr="00F73AB8" w:rsidRDefault="00255292" w:rsidP="000E4B24">
      <w:pPr>
        <w:spacing w:after="120"/>
        <w:ind w:firstLine="720"/>
        <w:jc w:val="center"/>
        <w:rPr>
          <w:b/>
        </w:rPr>
      </w:pPr>
      <w:r w:rsidRPr="00F73AB8">
        <w:rPr>
          <w:b/>
        </w:rPr>
        <w:t>Secţiunea a 5-a</w:t>
      </w:r>
    </w:p>
    <w:p w14:paraId="1983D7D9" w14:textId="77777777" w:rsidR="00255292" w:rsidRPr="00F73AB8" w:rsidRDefault="00255292" w:rsidP="000E4B24">
      <w:pPr>
        <w:spacing w:after="120"/>
        <w:ind w:firstLine="720"/>
        <w:jc w:val="center"/>
        <w:rPr>
          <w:b/>
        </w:rPr>
      </w:pPr>
      <w:r w:rsidRPr="00F73AB8">
        <w:rPr>
          <w:b/>
        </w:rPr>
        <w:t>Efectele proiectului de act normativ asupra legislaţiei în vigoare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255292" w:rsidRPr="00590335" w14:paraId="1B8BDD9C" w14:textId="77777777" w:rsidTr="00B400EE">
        <w:trPr>
          <w:trHeight w:val="561"/>
        </w:trPr>
        <w:tc>
          <w:tcPr>
            <w:tcW w:w="10533" w:type="dxa"/>
          </w:tcPr>
          <w:p w14:paraId="71FC6F67" w14:textId="77777777" w:rsidR="00255292" w:rsidRPr="00590335" w:rsidRDefault="00255292" w:rsidP="008838DB">
            <w:pPr>
              <w:spacing w:after="120"/>
              <w:jc w:val="both"/>
              <w:rPr>
                <w:b/>
                <w:bCs/>
                <w:sz w:val="22"/>
                <w:szCs w:val="22"/>
              </w:rPr>
            </w:pPr>
            <w:r w:rsidRPr="00590335">
              <w:rPr>
                <w:b/>
                <w:bCs/>
                <w:sz w:val="22"/>
                <w:szCs w:val="22"/>
              </w:rPr>
              <w:t>5.1. Măsuri normative necesare pentru aplicarea prevederilor proiectului de act normativ</w:t>
            </w:r>
          </w:p>
          <w:p w14:paraId="6419F020" w14:textId="77777777" w:rsidR="00255292" w:rsidRPr="00590335" w:rsidRDefault="00255292" w:rsidP="008838DB">
            <w:pPr>
              <w:tabs>
                <w:tab w:val="left" w:pos="201"/>
              </w:tabs>
              <w:spacing w:after="120"/>
              <w:jc w:val="both"/>
              <w:rPr>
                <w:b/>
                <w:bCs/>
                <w:sz w:val="22"/>
                <w:szCs w:val="22"/>
              </w:rPr>
            </w:pPr>
            <w:r w:rsidRPr="00590335">
              <w:rPr>
                <w:b/>
                <w:bCs/>
                <w:sz w:val="22"/>
                <w:szCs w:val="22"/>
              </w:rPr>
              <w:t>5.2. Impactul asupra legislației în domeniul achizițiilor publice</w:t>
            </w:r>
          </w:p>
          <w:p w14:paraId="521DE054" w14:textId="77777777" w:rsidR="00255292" w:rsidRPr="00590335" w:rsidRDefault="00255292" w:rsidP="008838DB">
            <w:pPr>
              <w:tabs>
                <w:tab w:val="left" w:pos="201"/>
              </w:tabs>
              <w:spacing w:after="120"/>
              <w:jc w:val="both"/>
              <w:rPr>
                <w:b/>
                <w:bCs/>
                <w:sz w:val="22"/>
                <w:szCs w:val="22"/>
              </w:rPr>
            </w:pPr>
            <w:r w:rsidRPr="00590335">
              <w:rPr>
                <w:b/>
                <w:bCs/>
                <w:sz w:val="22"/>
                <w:szCs w:val="22"/>
              </w:rPr>
              <w:t>5.3. Conformitatea  proiectului de act normativ cu legislaţia UE (în cazul proiectelor ce transpun sau asigură aplicarea unor prevederi de drept UE)</w:t>
            </w:r>
          </w:p>
          <w:p w14:paraId="5F33D526" w14:textId="77777777" w:rsidR="00255292" w:rsidRPr="00590335" w:rsidRDefault="00255292" w:rsidP="00C66683">
            <w:pPr>
              <w:tabs>
                <w:tab w:val="left" w:pos="201"/>
              </w:tabs>
              <w:spacing w:after="120"/>
              <w:jc w:val="both"/>
              <w:rPr>
                <w:b/>
                <w:bCs/>
                <w:sz w:val="22"/>
                <w:szCs w:val="22"/>
              </w:rPr>
            </w:pPr>
            <w:r w:rsidRPr="00590335">
              <w:rPr>
                <w:b/>
                <w:bCs/>
                <w:sz w:val="22"/>
                <w:szCs w:val="22"/>
              </w:rPr>
              <w:t>5.3.1. Măsuri normative necesare transpunerii directivelor UE</w:t>
            </w:r>
          </w:p>
          <w:p w14:paraId="6284FC74" w14:textId="77777777" w:rsidR="00255292" w:rsidRPr="00590335" w:rsidRDefault="00255292" w:rsidP="008838DB">
            <w:pPr>
              <w:tabs>
                <w:tab w:val="left" w:pos="201"/>
              </w:tabs>
              <w:spacing w:after="120"/>
              <w:jc w:val="both"/>
              <w:rPr>
                <w:b/>
                <w:bCs/>
                <w:sz w:val="22"/>
                <w:szCs w:val="22"/>
              </w:rPr>
            </w:pPr>
            <w:r w:rsidRPr="00590335">
              <w:rPr>
                <w:b/>
                <w:bCs/>
                <w:sz w:val="22"/>
                <w:szCs w:val="22"/>
              </w:rPr>
              <w:t>5.3.2. Măsuri normative necesare aplicării actelor legislative UE</w:t>
            </w:r>
          </w:p>
          <w:p w14:paraId="22D5CC54" w14:textId="77777777" w:rsidR="00255292" w:rsidRPr="00590335" w:rsidRDefault="00255292" w:rsidP="00C66683">
            <w:pPr>
              <w:tabs>
                <w:tab w:val="left" w:pos="201"/>
              </w:tabs>
              <w:spacing w:after="120"/>
              <w:jc w:val="both"/>
              <w:rPr>
                <w:sz w:val="22"/>
                <w:szCs w:val="22"/>
              </w:rPr>
            </w:pPr>
            <w:r w:rsidRPr="00590335">
              <w:rPr>
                <w:b/>
                <w:bCs/>
                <w:sz w:val="22"/>
                <w:szCs w:val="22"/>
              </w:rPr>
              <w:t xml:space="preserve">5.4. Hotărâri ale Curţii de Justiţie a Uniunii Europene </w:t>
            </w:r>
          </w:p>
          <w:p w14:paraId="57FB848B" w14:textId="77777777" w:rsidR="009A157D" w:rsidRPr="00590335" w:rsidRDefault="00255292" w:rsidP="008838DB">
            <w:pPr>
              <w:tabs>
                <w:tab w:val="left" w:pos="201"/>
              </w:tabs>
              <w:spacing w:after="120"/>
              <w:jc w:val="both"/>
              <w:rPr>
                <w:b/>
                <w:bCs/>
                <w:sz w:val="22"/>
                <w:szCs w:val="22"/>
              </w:rPr>
            </w:pPr>
            <w:r w:rsidRPr="00590335">
              <w:rPr>
                <w:b/>
                <w:bCs/>
                <w:sz w:val="22"/>
                <w:szCs w:val="22"/>
              </w:rPr>
              <w:t>5.5. Alte acte normative şi/sau documente internaţionale din care decurg angajamente asumate</w:t>
            </w:r>
          </w:p>
          <w:p w14:paraId="38A3BA5D" w14:textId="77777777" w:rsidR="00590335" w:rsidRPr="00590335" w:rsidRDefault="00590335" w:rsidP="008838DB">
            <w:pPr>
              <w:tabs>
                <w:tab w:val="left" w:pos="201"/>
              </w:tabs>
              <w:spacing w:after="120"/>
              <w:jc w:val="both"/>
              <w:rPr>
                <w:iCs/>
                <w:sz w:val="22"/>
                <w:szCs w:val="22"/>
              </w:rPr>
            </w:pPr>
            <w:r w:rsidRPr="00590335">
              <w:rPr>
                <w:iCs/>
                <w:sz w:val="22"/>
                <w:szCs w:val="22"/>
              </w:rPr>
              <w:t xml:space="preserve">Regulamentul (UE) 2021/241 al Parlamentului European </w:t>
            </w:r>
            <w:r w:rsidRPr="00590335">
              <w:rPr>
                <w:rFonts w:hint="eastAsia"/>
                <w:iCs/>
                <w:sz w:val="22"/>
                <w:szCs w:val="22"/>
              </w:rPr>
              <w:t>ş</w:t>
            </w:r>
            <w:r w:rsidRPr="00590335">
              <w:rPr>
                <w:iCs/>
                <w:sz w:val="22"/>
                <w:szCs w:val="22"/>
              </w:rPr>
              <w:t xml:space="preserve">i al Consiliului din 12 februarie 2021 de instituire a Mecanismului de redresare </w:t>
            </w:r>
            <w:r w:rsidRPr="00590335">
              <w:rPr>
                <w:rFonts w:hint="eastAsia"/>
                <w:iCs/>
                <w:sz w:val="22"/>
                <w:szCs w:val="22"/>
              </w:rPr>
              <w:t>ş</w:t>
            </w:r>
            <w:r w:rsidRPr="00590335">
              <w:rPr>
                <w:iCs/>
                <w:sz w:val="22"/>
                <w:szCs w:val="22"/>
              </w:rPr>
              <w:t>i rezilien</w:t>
            </w:r>
            <w:r w:rsidRPr="00590335">
              <w:rPr>
                <w:rFonts w:hint="eastAsia"/>
                <w:iCs/>
                <w:sz w:val="22"/>
                <w:szCs w:val="22"/>
              </w:rPr>
              <w:t>ţă</w:t>
            </w:r>
            <w:r w:rsidRPr="00590335">
              <w:rPr>
                <w:iCs/>
                <w:sz w:val="22"/>
                <w:szCs w:val="22"/>
              </w:rPr>
              <w:t>,  Decizia de punere în aplicare a Consiliului din 3 noiembrie 2021 de aprobare a evalu</w:t>
            </w:r>
            <w:r w:rsidRPr="00590335">
              <w:rPr>
                <w:rFonts w:hint="eastAsia"/>
                <w:iCs/>
                <w:sz w:val="22"/>
                <w:szCs w:val="22"/>
              </w:rPr>
              <w:t>ă</w:t>
            </w:r>
            <w:r w:rsidRPr="00590335">
              <w:rPr>
                <w:iCs/>
                <w:sz w:val="22"/>
                <w:szCs w:val="22"/>
              </w:rPr>
              <w:t xml:space="preserve">rii planului de redresare </w:t>
            </w:r>
            <w:r w:rsidRPr="00590335">
              <w:rPr>
                <w:rFonts w:hint="eastAsia"/>
                <w:iCs/>
                <w:sz w:val="22"/>
                <w:szCs w:val="22"/>
              </w:rPr>
              <w:t>ş</w:t>
            </w:r>
            <w:r w:rsidRPr="00590335">
              <w:rPr>
                <w:iCs/>
                <w:sz w:val="22"/>
                <w:szCs w:val="22"/>
              </w:rPr>
              <w:t>i rezilien</w:t>
            </w:r>
            <w:r w:rsidRPr="00590335">
              <w:rPr>
                <w:rFonts w:hint="eastAsia"/>
                <w:iCs/>
                <w:sz w:val="22"/>
                <w:szCs w:val="22"/>
              </w:rPr>
              <w:t>ţă</w:t>
            </w:r>
            <w:r w:rsidRPr="00590335">
              <w:rPr>
                <w:iCs/>
                <w:sz w:val="22"/>
                <w:szCs w:val="22"/>
              </w:rPr>
              <w:t xml:space="preserve"> al României</w:t>
            </w:r>
          </w:p>
          <w:p w14:paraId="7F0C725A" w14:textId="426505FE" w:rsidR="00255292" w:rsidRPr="00590335" w:rsidRDefault="00255292" w:rsidP="008838DB">
            <w:pPr>
              <w:tabs>
                <w:tab w:val="left" w:pos="201"/>
              </w:tabs>
              <w:spacing w:after="120"/>
              <w:jc w:val="both"/>
              <w:rPr>
                <w:sz w:val="22"/>
                <w:szCs w:val="22"/>
              </w:rPr>
            </w:pPr>
            <w:r w:rsidRPr="00590335">
              <w:rPr>
                <w:b/>
                <w:bCs/>
                <w:sz w:val="22"/>
                <w:szCs w:val="22"/>
              </w:rPr>
              <w:t xml:space="preserve"> 5.6. Alte informații</w:t>
            </w:r>
          </w:p>
        </w:tc>
      </w:tr>
    </w:tbl>
    <w:p w14:paraId="5FC16756" w14:textId="77777777" w:rsidR="00255292" w:rsidRPr="00F73AB8" w:rsidRDefault="00255292" w:rsidP="008838DB">
      <w:pPr>
        <w:spacing w:after="120"/>
        <w:rPr>
          <w:b/>
        </w:rPr>
      </w:pPr>
      <w:r w:rsidRPr="00F73AB8">
        <w:rPr>
          <w:b/>
        </w:rPr>
        <w:t xml:space="preserve">   </w:t>
      </w:r>
    </w:p>
    <w:p w14:paraId="63A9AA7E" w14:textId="77777777" w:rsidR="00F1724D" w:rsidRDefault="00F1724D" w:rsidP="000E4B24">
      <w:pPr>
        <w:spacing w:after="120"/>
        <w:ind w:firstLine="720"/>
        <w:jc w:val="center"/>
        <w:rPr>
          <w:b/>
        </w:rPr>
      </w:pPr>
    </w:p>
    <w:p w14:paraId="26042125" w14:textId="77777777" w:rsidR="00F1724D" w:rsidRDefault="00F1724D" w:rsidP="000E4B24">
      <w:pPr>
        <w:spacing w:after="120"/>
        <w:ind w:firstLine="720"/>
        <w:jc w:val="center"/>
        <w:rPr>
          <w:b/>
        </w:rPr>
      </w:pPr>
    </w:p>
    <w:p w14:paraId="19A63AE4" w14:textId="64B8F10B" w:rsidR="00255292" w:rsidRPr="00F73AB8" w:rsidRDefault="00255292" w:rsidP="000E4B24">
      <w:pPr>
        <w:spacing w:after="120"/>
        <w:ind w:firstLine="720"/>
        <w:jc w:val="center"/>
        <w:rPr>
          <w:b/>
        </w:rPr>
      </w:pPr>
      <w:r w:rsidRPr="00F73AB8">
        <w:rPr>
          <w:b/>
        </w:rPr>
        <w:t>Secțiunea a 6-a</w:t>
      </w:r>
    </w:p>
    <w:p w14:paraId="192DFED8" w14:textId="77777777" w:rsidR="00255292" w:rsidRPr="00F73AB8" w:rsidRDefault="00255292" w:rsidP="000E4B24">
      <w:pPr>
        <w:spacing w:after="120"/>
        <w:ind w:firstLine="720"/>
        <w:jc w:val="center"/>
        <w:rPr>
          <w:b/>
        </w:rPr>
      </w:pPr>
      <w:r w:rsidRPr="00F73AB8">
        <w:rPr>
          <w:b/>
        </w:rPr>
        <w:t>Consultările efectuate în vederea elaborării proiectului de act normativ</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255292" w:rsidRPr="00F73AB8" w14:paraId="6A3E395D" w14:textId="77777777" w:rsidTr="00096014">
        <w:tc>
          <w:tcPr>
            <w:tcW w:w="10533" w:type="dxa"/>
          </w:tcPr>
          <w:p w14:paraId="149658EC" w14:textId="77777777" w:rsidR="00255292" w:rsidRPr="00F73AB8" w:rsidRDefault="00255292" w:rsidP="008838DB">
            <w:pPr>
              <w:spacing w:after="120"/>
              <w:jc w:val="both"/>
              <w:rPr>
                <w:b/>
                <w:bCs/>
              </w:rPr>
            </w:pPr>
            <w:r w:rsidRPr="00F73AB8">
              <w:rPr>
                <w:b/>
                <w:bCs/>
              </w:rPr>
              <w:t>6.1. Informații privind neaplicarea procedurii de participare la elaborarea actelor normative</w:t>
            </w:r>
          </w:p>
          <w:p w14:paraId="66DE0EE7" w14:textId="77777777" w:rsidR="00255292" w:rsidRPr="00F73AB8" w:rsidRDefault="00255292" w:rsidP="008838DB">
            <w:pPr>
              <w:spacing w:after="120"/>
              <w:jc w:val="both"/>
              <w:rPr>
                <w:b/>
                <w:bCs/>
              </w:rPr>
            </w:pPr>
            <w:r w:rsidRPr="00F73AB8">
              <w:rPr>
                <w:b/>
                <w:bCs/>
              </w:rPr>
              <w:t>6.2. Informaţii privind procesul de consultare cu organizaţii neguvernamentale, institute de cercetare şi alte organisme implicate</w:t>
            </w:r>
          </w:p>
          <w:p w14:paraId="6FEEA475" w14:textId="77777777" w:rsidR="00255292" w:rsidRDefault="00255292" w:rsidP="008838DB">
            <w:pPr>
              <w:spacing w:after="120"/>
              <w:jc w:val="both"/>
              <w:rPr>
                <w:b/>
                <w:bCs/>
              </w:rPr>
            </w:pPr>
            <w:r w:rsidRPr="00F73AB8">
              <w:rPr>
                <w:b/>
                <w:bCs/>
              </w:rPr>
              <w:t>6.3. Informații despre consultările organizate cu autoritățile administrației publice locale</w:t>
            </w:r>
          </w:p>
          <w:p w14:paraId="312815F7" w14:textId="4265ACBC" w:rsidR="00255292" w:rsidRPr="00F73AB8" w:rsidRDefault="00255292" w:rsidP="008838DB">
            <w:pPr>
              <w:spacing w:after="120"/>
              <w:jc w:val="both"/>
              <w:rPr>
                <w:b/>
                <w:bCs/>
              </w:rPr>
            </w:pPr>
            <w:r w:rsidRPr="00F73AB8">
              <w:rPr>
                <w:b/>
                <w:bCs/>
              </w:rPr>
              <w:t>6.4. Informații privind puncte de vedere/opinii emise de organisme consultative constituite prin acte normative</w:t>
            </w:r>
          </w:p>
          <w:p w14:paraId="69DF6923" w14:textId="77777777" w:rsidR="00255292" w:rsidRPr="00F73AB8" w:rsidRDefault="00255292" w:rsidP="008838DB">
            <w:pPr>
              <w:spacing w:after="120"/>
              <w:jc w:val="both"/>
              <w:rPr>
                <w:b/>
                <w:bCs/>
              </w:rPr>
            </w:pPr>
            <w:r w:rsidRPr="00F73AB8">
              <w:rPr>
                <w:b/>
                <w:bCs/>
              </w:rPr>
              <w:t>6.5. Informații privind avizarea de către:</w:t>
            </w:r>
          </w:p>
          <w:p w14:paraId="3AD15DB3" w14:textId="77777777" w:rsidR="00255292" w:rsidRPr="00F73AB8" w:rsidRDefault="00255292" w:rsidP="008838DB">
            <w:pPr>
              <w:spacing w:after="120"/>
              <w:jc w:val="both"/>
              <w:rPr>
                <w:b/>
                <w:bCs/>
              </w:rPr>
            </w:pPr>
            <w:r w:rsidRPr="00F73AB8">
              <w:t xml:space="preserve">a) </w:t>
            </w:r>
            <w:r w:rsidRPr="00F73AB8">
              <w:rPr>
                <w:b/>
                <w:bCs/>
              </w:rPr>
              <w:t>Consiliul Legislativ</w:t>
            </w:r>
          </w:p>
          <w:p w14:paraId="0D046AC8" w14:textId="77777777" w:rsidR="00255292" w:rsidRPr="00F73AB8" w:rsidRDefault="00255292" w:rsidP="008838DB">
            <w:pPr>
              <w:spacing w:after="120"/>
              <w:jc w:val="both"/>
            </w:pPr>
            <w:r w:rsidRPr="00F73AB8">
              <w:t>b) Consiliul Suprem de Apărare a Ţării</w:t>
            </w:r>
          </w:p>
          <w:p w14:paraId="7D812A75" w14:textId="77777777" w:rsidR="00255292" w:rsidRPr="00F73AB8" w:rsidRDefault="00255292" w:rsidP="008838DB">
            <w:pPr>
              <w:spacing w:after="120"/>
              <w:jc w:val="both"/>
            </w:pPr>
            <w:r w:rsidRPr="00F73AB8">
              <w:t>c) Consiliul Economic şi Social</w:t>
            </w:r>
          </w:p>
          <w:p w14:paraId="5F46C65C" w14:textId="77777777" w:rsidR="00255292" w:rsidRPr="00F73AB8" w:rsidRDefault="00255292" w:rsidP="008838DB">
            <w:pPr>
              <w:spacing w:after="120"/>
              <w:jc w:val="both"/>
            </w:pPr>
            <w:r w:rsidRPr="00F73AB8">
              <w:t xml:space="preserve">d) </w:t>
            </w:r>
            <w:r w:rsidRPr="00F73AB8">
              <w:rPr>
                <w:b/>
                <w:bCs/>
              </w:rPr>
              <w:t>Consiliul Concurenţei</w:t>
            </w:r>
            <w:r w:rsidRPr="00F73AB8">
              <w:t xml:space="preserve"> </w:t>
            </w:r>
          </w:p>
          <w:p w14:paraId="39349B01" w14:textId="77777777" w:rsidR="00255292" w:rsidRPr="00F73AB8" w:rsidRDefault="00255292" w:rsidP="008838DB">
            <w:pPr>
              <w:spacing w:after="120"/>
              <w:jc w:val="both"/>
              <w:rPr>
                <w:b/>
                <w:bCs/>
              </w:rPr>
            </w:pPr>
            <w:r w:rsidRPr="00F73AB8">
              <w:t>e</w:t>
            </w:r>
            <w:r w:rsidRPr="00F73AB8">
              <w:rPr>
                <w:b/>
                <w:bCs/>
              </w:rPr>
              <w:t>) Curtea de Conturi</w:t>
            </w:r>
          </w:p>
          <w:p w14:paraId="322B3833" w14:textId="77777777" w:rsidR="00255292" w:rsidRPr="00F73AB8" w:rsidRDefault="00255292" w:rsidP="008838DB">
            <w:pPr>
              <w:spacing w:after="120"/>
              <w:jc w:val="both"/>
              <w:rPr>
                <w:b/>
                <w:bCs/>
              </w:rPr>
            </w:pPr>
            <w:r w:rsidRPr="00F73AB8">
              <w:rPr>
                <w:b/>
                <w:bCs/>
              </w:rPr>
              <w:t>6.6. Alte informații</w:t>
            </w:r>
          </w:p>
          <w:p w14:paraId="10AA2446" w14:textId="28A24DBB" w:rsidR="00255292" w:rsidRPr="00F73AB8" w:rsidRDefault="003A53BB" w:rsidP="00014404">
            <w:pPr>
              <w:spacing w:after="120"/>
              <w:jc w:val="both"/>
              <w:rPr>
                <w:b/>
                <w:bCs/>
              </w:rPr>
            </w:pPr>
            <w:r w:rsidRPr="001A63BC">
              <w:t>Proiectul de act normativ va fi supus avizării Consiliului Legislativ</w:t>
            </w:r>
            <w:r>
              <w:t>.</w:t>
            </w:r>
          </w:p>
        </w:tc>
      </w:tr>
    </w:tbl>
    <w:p w14:paraId="702B9DDE" w14:textId="40F5AD4A" w:rsidR="00255292" w:rsidRDefault="00255292" w:rsidP="008838DB">
      <w:pPr>
        <w:pStyle w:val="BodyTextIndent2"/>
        <w:spacing w:before="0" w:line="240" w:lineRule="auto"/>
        <w:ind w:right="98" w:firstLine="0"/>
        <w:jc w:val="both"/>
        <w:rPr>
          <w:bCs/>
        </w:rPr>
      </w:pPr>
    </w:p>
    <w:p w14:paraId="2C05D470" w14:textId="77777777" w:rsidR="00F1724D" w:rsidRPr="00F73AB8" w:rsidRDefault="00F1724D" w:rsidP="008838DB">
      <w:pPr>
        <w:pStyle w:val="BodyTextIndent2"/>
        <w:spacing w:before="0" w:line="240" w:lineRule="auto"/>
        <w:ind w:right="98" w:firstLine="0"/>
        <w:jc w:val="both"/>
        <w:rPr>
          <w:bCs/>
        </w:rPr>
      </w:pPr>
    </w:p>
    <w:p w14:paraId="54543BDE" w14:textId="77777777" w:rsidR="00255292" w:rsidRPr="00F73AB8" w:rsidRDefault="00255292" w:rsidP="000E4B24">
      <w:pPr>
        <w:pStyle w:val="BodyTextIndent2"/>
        <w:spacing w:before="0" w:line="240" w:lineRule="auto"/>
        <w:ind w:left="180" w:right="98" w:firstLine="540"/>
        <w:jc w:val="center"/>
        <w:rPr>
          <w:bCs/>
        </w:rPr>
      </w:pPr>
      <w:r w:rsidRPr="00F73AB8">
        <w:t>Secţiunea a 7-a</w:t>
      </w:r>
    </w:p>
    <w:p w14:paraId="3E8994FB" w14:textId="77777777" w:rsidR="00255292" w:rsidRPr="00F73AB8" w:rsidRDefault="00255292" w:rsidP="000E4B24">
      <w:pPr>
        <w:pStyle w:val="BodyTextIndent2"/>
        <w:spacing w:before="0" w:line="240" w:lineRule="auto"/>
        <w:ind w:left="180" w:right="98" w:firstLine="540"/>
        <w:jc w:val="center"/>
        <w:rPr>
          <w:bCs/>
        </w:rPr>
      </w:pPr>
      <w:r w:rsidRPr="00F73AB8">
        <w:t xml:space="preserve">Activităţi de informare publică privind elaborarea şi implementarea </w:t>
      </w:r>
      <w:bookmarkStart w:id="0" w:name="_Hlk100229941"/>
      <w:r w:rsidRPr="00F73AB8">
        <w:t>proiectului de act normativ</w:t>
      </w:r>
      <w:bookmarkEnd w:id="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3"/>
      </w:tblGrid>
      <w:tr w:rsidR="00255292" w:rsidRPr="00590335" w14:paraId="7683E05E" w14:textId="77777777" w:rsidTr="00634CAE">
        <w:tc>
          <w:tcPr>
            <w:tcW w:w="10533" w:type="dxa"/>
          </w:tcPr>
          <w:p w14:paraId="3F253926" w14:textId="19ADC398" w:rsidR="00255292" w:rsidRPr="00590335" w:rsidRDefault="00255292" w:rsidP="008838DB">
            <w:pPr>
              <w:spacing w:after="120"/>
              <w:jc w:val="both"/>
              <w:rPr>
                <w:b/>
                <w:bCs/>
                <w:sz w:val="22"/>
                <w:szCs w:val="22"/>
              </w:rPr>
            </w:pPr>
            <w:r w:rsidRPr="00590335">
              <w:rPr>
                <w:b/>
                <w:bCs/>
                <w:sz w:val="22"/>
                <w:szCs w:val="22"/>
              </w:rPr>
              <w:t>7.1. Informarea societăţii civile cu privire la elaborarea proiectului de act normativ</w:t>
            </w:r>
          </w:p>
          <w:p w14:paraId="3A356E2B" w14:textId="2ED03A32" w:rsidR="00590335" w:rsidRPr="00590335" w:rsidRDefault="00590335" w:rsidP="008838DB">
            <w:pPr>
              <w:spacing w:after="120"/>
              <w:jc w:val="both"/>
              <w:rPr>
                <w:b/>
                <w:bCs/>
                <w:sz w:val="22"/>
                <w:szCs w:val="22"/>
              </w:rPr>
            </w:pPr>
            <w:r w:rsidRPr="00590335">
              <w:rPr>
                <w:sz w:val="22"/>
                <w:szCs w:val="22"/>
              </w:rPr>
              <w:t>Pentru transparență decizională și acces la informațiile de interes public, proiectul de act normativ a fost elaborat  cu respectarea   prevederilor   Legii   nr.52/2003   privind transparența  decizional</w:t>
            </w:r>
            <w:r w:rsidRPr="00590335">
              <w:rPr>
                <w:rFonts w:hint="eastAsia"/>
                <w:sz w:val="22"/>
                <w:szCs w:val="22"/>
              </w:rPr>
              <w:t>ă</w:t>
            </w:r>
            <w:r w:rsidRPr="00590335">
              <w:rPr>
                <w:sz w:val="22"/>
                <w:szCs w:val="22"/>
              </w:rPr>
              <w:t xml:space="preserve">  în  administrația  public</w:t>
            </w:r>
            <w:r w:rsidRPr="00590335">
              <w:rPr>
                <w:rFonts w:hint="eastAsia"/>
                <w:sz w:val="22"/>
                <w:szCs w:val="22"/>
              </w:rPr>
              <w:t>ă</w:t>
            </w:r>
            <w:r w:rsidRPr="00590335">
              <w:rPr>
                <w:sz w:val="22"/>
                <w:szCs w:val="22"/>
              </w:rPr>
              <w:t>,  republicat</w:t>
            </w:r>
            <w:r w:rsidRPr="00590335">
              <w:rPr>
                <w:rFonts w:hint="eastAsia"/>
                <w:sz w:val="22"/>
                <w:szCs w:val="22"/>
              </w:rPr>
              <w:t>ă</w:t>
            </w:r>
            <w:r w:rsidRPr="00590335">
              <w:rPr>
                <w:sz w:val="22"/>
                <w:szCs w:val="22"/>
              </w:rPr>
              <w:t>.</w:t>
            </w:r>
          </w:p>
          <w:p w14:paraId="493CFB51" w14:textId="77777777" w:rsidR="00255292" w:rsidRPr="00590335" w:rsidRDefault="00255292" w:rsidP="008838DB">
            <w:pPr>
              <w:spacing w:after="120"/>
              <w:jc w:val="both"/>
              <w:rPr>
                <w:b/>
                <w:bCs/>
                <w:sz w:val="22"/>
                <w:szCs w:val="22"/>
              </w:rPr>
            </w:pPr>
            <w:r w:rsidRPr="00590335">
              <w:rPr>
                <w:b/>
                <w:bCs/>
                <w:sz w:val="22"/>
                <w:szCs w:val="22"/>
              </w:rPr>
              <w:t>7.2. Informarea societăţii civile cu privire la eventualul impact asupra mediului în urma implementării proiectului de act normativ, precum și efectele asupra sănătății și securității cetățenilor sau diversității biologice</w:t>
            </w:r>
          </w:p>
          <w:p w14:paraId="43823DA6" w14:textId="16C97791" w:rsidR="00147912" w:rsidRPr="00590335" w:rsidRDefault="00255292" w:rsidP="00147912">
            <w:pPr>
              <w:spacing w:after="120"/>
              <w:jc w:val="both"/>
              <w:rPr>
                <w:b/>
                <w:bCs/>
                <w:sz w:val="22"/>
                <w:szCs w:val="22"/>
              </w:rPr>
            </w:pPr>
            <w:r w:rsidRPr="00590335">
              <w:rPr>
                <w:b/>
                <w:bCs/>
                <w:sz w:val="22"/>
                <w:szCs w:val="22"/>
              </w:rPr>
              <w:t>7.3. Alte informații</w:t>
            </w:r>
          </w:p>
        </w:tc>
      </w:tr>
    </w:tbl>
    <w:p w14:paraId="3C4378E6" w14:textId="01CE10F3" w:rsidR="00255292" w:rsidRDefault="00255292" w:rsidP="008838DB">
      <w:pPr>
        <w:spacing w:after="120"/>
        <w:rPr>
          <w:b/>
        </w:rPr>
      </w:pPr>
    </w:p>
    <w:p w14:paraId="596CE0B7" w14:textId="77777777" w:rsidR="00F1724D" w:rsidRDefault="00F1724D" w:rsidP="008838DB">
      <w:pPr>
        <w:spacing w:after="120"/>
        <w:rPr>
          <w:b/>
        </w:rPr>
      </w:pPr>
    </w:p>
    <w:p w14:paraId="0381E80D" w14:textId="77777777" w:rsidR="00255292" w:rsidRPr="00F73AB8" w:rsidRDefault="00255292" w:rsidP="000E4B24">
      <w:pPr>
        <w:spacing w:after="120"/>
        <w:ind w:left="180" w:firstLine="540"/>
        <w:jc w:val="center"/>
        <w:rPr>
          <w:b/>
        </w:rPr>
      </w:pPr>
      <w:r w:rsidRPr="00F73AB8">
        <w:rPr>
          <w:b/>
        </w:rPr>
        <w:t>Secţiunea a 8- a</w:t>
      </w:r>
    </w:p>
    <w:p w14:paraId="29AFDBB1" w14:textId="77777777" w:rsidR="00255292" w:rsidRPr="00F73AB8" w:rsidRDefault="00255292" w:rsidP="000E4B24">
      <w:pPr>
        <w:spacing w:after="120"/>
        <w:ind w:left="180" w:firstLine="540"/>
        <w:jc w:val="center"/>
        <w:rPr>
          <w:b/>
        </w:rPr>
      </w:pPr>
      <w:r w:rsidRPr="00F73AB8">
        <w:rPr>
          <w:b/>
        </w:rPr>
        <w:t>Măsuri privind implementarea, monitorizarea și evaluarea proiectului de act normativ</w:t>
      </w:r>
    </w:p>
    <w:tbl>
      <w:tblPr>
        <w:tblW w:w="10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3"/>
      </w:tblGrid>
      <w:tr w:rsidR="00255292" w:rsidRPr="00F73AB8" w14:paraId="347C7F32" w14:textId="77777777" w:rsidTr="00435BC5">
        <w:tc>
          <w:tcPr>
            <w:tcW w:w="10553" w:type="dxa"/>
          </w:tcPr>
          <w:p w14:paraId="5A8BEC24" w14:textId="77777777" w:rsidR="00255292" w:rsidRPr="00F73AB8" w:rsidRDefault="00255292" w:rsidP="008838DB">
            <w:pPr>
              <w:pStyle w:val="Heading1"/>
              <w:spacing w:after="120" w:line="240" w:lineRule="auto"/>
              <w:jc w:val="both"/>
              <w:rPr>
                <w:b/>
                <w:bCs/>
                <w:szCs w:val="24"/>
                <w:lang w:eastAsia="en-US"/>
              </w:rPr>
            </w:pPr>
            <w:r w:rsidRPr="00F73AB8">
              <w:rPr>
                <w:b/>
                <w:bCs/>
                <w:szCs w:val="24"/>
                <w:lang w:eastAsia="en-US"/>
              </w:rPr>
              <w:t>8.1. Măsuri de punere în aplicare a proiectului de act normativ</w:t>
            </w:r>
          </w:p>
          <w:p w14:paraId="221C5884" w14:textId="77777777" w:rsidR="00255292" w:rsidRPr="00F73AB8" w:rsidRDefault="00255292" w:rsidP="008838DB">
            <w:r w:rsidRPr="00F73AB8">
              <w:rPr>
                <w:b/>
                <w:bCs/>
              </w:rPr>
              <w:t>8.2. Alte informaţii</w:t>
            </w:r>
          </w:p>
        </w:tc>
      </w:tr>
    </w:tbl>
    <w:p w14:paraId="7B92F1EC" w14:textId="35EC4AC9" w:rsidR="00255292" w:rsidRPr="00F73AB8" w:rsidRDefault="00255292" w:rsidP="00AD0FCB">
      <w:pPr>
        <w:jc w:val="both"/>
      </w:pPr>
    </w:p>
    <w:p w14:paraId="4F57F0A1" w14:textId="77777777" w:rsidR="00255292" w:rsidRPr="00F73AB8" w:rsidRDefault="00255292" w:rsidP="00AD0FCB">
      <w:pPr>
        <w:jc w:val="both"/>
      </w:pPr>
    </w:p>
    <w:p w14:paraId="7BAE13C0" w14:textId="665C04CC" w:rsidR="009A157D" w:rsidRDefault="009A157D" w:rsidP="009A157D">
      <w:pPr>
        <w:spacing w:after="200" w:line="276" w:lineRule="auto"/>
        <w:jc w:val="both"/>
        <w:rPr>
          <w:sz w:val="22"/>
          <w:szCs w:val="22"/>
        </w:rPr>
      </w:pPr>
      <w:r w:rsidRPr="009A157D">
        <w:rPr>
          <w:rFonts w:eastAsia="Calibri"/>
        </w:rPr>
        <w:t xml:space="preserve">Față de cele prezentate, a fost promovată prezenta Hotărâre a Guvernului </w:t>
      </w:r>
      <w:r w:rsidR="003A603C" w:rsidRPr="003A603C">
        <w:rPr>
          <w:rFonts w:eastAsia="Calibri"/>
        </w:rPr>
        <w:t xml:space="preserve">privind aprobarea </w:t>
      </w:r>
      <w:r w:rsidR="000E4553" w:rsidRPr="000E4553">
        <w:rPr>
          <w:rFonts w:eastAsia="Calibri"/>
        </w:rPr>
        <w:t>Programului național de dotare cu echipamente a cabinetelor medicilor de familie sau asocieri de cabinete de asistență medicală, a Programului național de dotare cu echipamente a cabinetelor de planificare familială, a Programului național de dotare cu echipamente a centrelor comunitare integrate, a Programului național de dotare cu ambulanțe de terapie intensivă nou-născuți și a Programului național de dotare cu unități mobile de screening pentru cancer</w:t>
      </w:r>
    </w:p>
    <w:p w14:paraId="0D2C2A40" w14:textId="0985BC8F" w:rsidR="00307CD4" w:rsidRDefault="00307CD4" w:rsidP="009A157D">
      <w:pPr>
        <w:spacing w:after="200" w:line="276" w:lineRule="auto"/>
        <w:jc w:val="both"/>
        <w:rPr>
          <w:rFonts w:eastAsia="Calibri"/>
          <w:iCs/>
        </w:rPr>
      </w:pPr>
    </w:p>
    <w:p w14:paraId="6A9F6D33" w14:textId="77777777" w:rsidR="00307CD4" w:rsidRPr="009A157D" w:rsidRDefault="00307CD4" w:rsidP="009A157D">
      <w:pPr>
        <w:spacing w:after="200" w:line="276" w:lineRule="auto"/>
        <w:jc w:val="both"/>
        <w:rPr>
          <w:rFonts w:eastAsia="Calibri"/>
          <w:iCs/>
        </w:rPr>
      </w:pPr>
    </w:p>
    <w:p w14:paraId="6038A109" w14:textId="77777777" w:rsidR="009A157D" w:rsidRPr="009A157D" w:rsidRDefault="009A157D" w:rsidP="009A157D">
      <w:pPr>
        <w:tabs>
          <w:tab w:val="left" w:pos="3960"/>
        </w:tabs>
        <w:spacing w:line="276" w:lineRule="auto"/>
        <w:jc w:val="both"/>
        <w:rPr>
          <w:rFonts w:ascii="Trebuchet MS" w:eastAsia="Calibri" w:hAnsi="Trebuchet MS"/>
          <w:b/>
          <w:sz w:val="22"/>
          <w:szCs w:val="22"/>
        </w:rPr>
      </w:pPr>
    </w:p>
    <w:p w14:paraId="5117DB60" w14:textId="175F8B3D" w:rsidR="00590335" w:rsidRPr="00DB2F29" w:rsidRDefault="00590335" w:rsidP="00590335">
      <w:pPr>
        <w:ind w:left="720"/>
        <w:jc w:val="center"/>
        <w:rPr>
          <w:b/>
          <w:sz w:val="22"/>
          <w:szCs w:val="22"/>
        </w:rPr>
      </w:pPr>
      <w:r w:rsidRPr="00DB2F29">
        <w:rPr>
          <w:b/>
          <w:sz w:val="22"/>
          <w:szCs w:val="22"/>
        </w:rPr>
        <w:t xml:space="preserve">MINISTRUL  </w:t>
      </w:r>
      <w:r w:rsidR="00307CD4">
        <w:rPr>
          <w:b/>
          <w:sz w:val="22"/>
          <w:szCs w:val="22"/>
        </w:rPr>
        <w:t>SĂNĂTĂȚII</w:t>
      </w:r>
      <w:r w:rsidRPr="00DB2F29">
        <w:rPr>
          <w:b/>
          <w:sz w:val="22"/>
          <w:szCs w:val="22"/>
        </w:rPr>
        <w:t>,</w:t>
      </w:r>
    </w:p>
    <w:p w14:paraId="1B47C858" w14:textId="4FA3D700" w:rsidR="00590335" w:rsidRPr="00DB2F29" w:rsidRDefault="00590335" w:rsidP="00590335">
      <w:pPr>
        <w:tabs>
          <w:tab w:val="left" w:pos="3375"/>
        </w:tabs>
        <w:jc w:val="center"/>
        <w:rPr>
          <w:b/>
          <w:sz w:val="22"/>
          <w:szCs w:val="22"/>
        </w:rPr>
      </w:pPr>
      <w:r w:rsidRPr="00DB2F29">
        <w:rPr>
          <w:b/>
          <w:sz w:val="22"/>
          <w:szCs w:val="22"/>
        </w:rPr>
        <w:t xml:space="preserve">          </w:t>
      </w:r>
      <w:r w:rsidR="00307CD4">
        <w:rPr>
          <w:b/>
          <w:sz w:val="22"/>
          <w:szCs w:val="22"/>
        </w:rPr>
        <w:t>Prof. Univ. dr. Alexandru RAFILA</w:t>
      </w:r>
    </w:p>
    <w:p w14:paraId="2BDDA2F9" w14:textId="77777777" w:rsidR="00590335" w:rsidRPr="00DB2F29" w:rsidRDefault="00590335" w:rsidP="00590335">
      <w:pPr>
        <w:tabs>
          <w:tab w:val="left" w:pos="3375"/>
        </w:tabs>
        <w:spacing w:line="276" w:lineRule="auto"/>
        <w:jc w:val="center"/>
        <w:rPr>
          <w:b/>
          <w:sz w:val="22"/>
          <w:szCs w:val="22"/>
        </w:rPr>
      </w:pPr>
    </w:p>
    <w:p w14:paraId="70C1FD7A" w14:textId="672084BB" w:rsidR="00590335" w:rsidRDefault="00590335" w:rsidP="00590335">
      <w:pPr>
        <w:tabs>
          <w:tab w:val="left" w:pos="3375"/>
        </w:tabs>
        <w:spacing w:line="276" w:lineRule="auto"/>
        <w:jc w:val="center"/>
        <w:rPr>
          <w:b/>
          <w:sz w:val="22"/>
          <w:szCs w:val="22"/>
        </w:rPr>
      </w:pPr>
    </w:p>
    <w:p w14:paraId="6590DF29" w14:textId="77777777" w:rsidR="00F1724D" w:rsidRPr="00DB2F29" w:rsidRDefault="00F1724D" w:rsidP="00590335">
      <w:pPr>
        <w:tabs>
          <w:tab w:val="left" w:pos="3375"/>
        </w:tabs>
        <w:spacing w:line="276" w:lineRule="auto"/>
        <w:jc w:val="center"/>
        <w:rPr>
          <w:b/>
          <w:sz w:val="22"/>
          <w:szCs w:val="22"/>
        </w:rPr>
      </w:pPr>
    </w:p>
    <w:p w14:paraId="61E7C99E" w14:textId="77777777" w:rsidR="00590335" w:rsidRPr="00DB2F29" w:rsidRDefault="00590335" w:rsidP="00590335">
      <w:pPr>
        <w:tabs>
          <w:tab w:val="left" w:pos="3375"/>
        </w:tabs>
        <w:spacing w:line="276" w:lineRule="auto"/>
        <w:jc w:val="center"/>
        <w:rPr>
          <w:b/>
          <w:sz w:val="22"/>
          <w:szCs w:val="22"/>
        </w:rPr>
      </w:pPr>
    </w:p>
    <w:p w14:paraId="59A514FE" w14:textId="2D232D11" w:rsidR="00590335" w:rsidRDefault="00590335" w:rsidP="00AA4930">
      <w:pPr>
        <w:jc w:val="both"/>
      </w:pPr>
    </w:p>
    <w:p w14:paraId="1EB1A673" w14:textId="3FFA7835" w:rsidR="00EF51F3" w:rsidRDefault="00EF51F3" w:rsidP="000E4553">
      <w:pPr>
        <w:jc w:val="center"/>
        <w:rPr>
          <w:b/>
          <w:bCs/>
        </w:rPr>
      </w:pPr>
      <w:r w:rsidRPr="00C56F46">
        <w:rPr>
          <w:b/>
          <w:bCs/>
        </w:rPr>
        <w:t>FISA DE AVIZARE INTERNA</w:t>
      </w:r>
    </w:p>
    <w:p w14:paraId="204B4A38" w14:textId="77777777" w:rsidR="00EF51F3" w:rsidRPr="00C56F46" w:rsidRDefault="00EF51F3" w:rsidP="00EF51F3">
      <w:pPr>
        <w:jc w:val="center"/>
        <w:rPr>
          <w:b/>
          <w:bCs/>
        </w:rPr>
      </w:pPr>
    </w:p>
    <w:p w14:paraId="738DBD2E" w14:textId="77777777" w:rsidR="000E4553" w:rsidRPr="000E4553" w:rsidRDefault="000E4553" w:rsidP="000E4553">
      <w:pPr>
        <w:pStyle w:val="Body"/>
        <w:spacing w:after="120"/>
        <w:jc w:val="center"/>
        <w:rPr>
          <w:rFonts w:ascii="Times New Roman" w:hAnsi="Times New Roman"/>
          <w:b/>
          <w:bCs/>
          <w:sz w:val="24"/>
          <w:szCs w:val="24"/>
          <w:lang w:val="ro-RO"/>
        </w:rPr>
      </w:pPr>
      <w:r w:rsidRPr="000E4553">
        <w:rPr>
          <w:rFonts w:ascii="Times New Roman" w:hAnsi="Times New Roman"/>
          <w:b/>
          <w:bCs/>
          <w:sz w:val="24"/>
          <w:szCs w:val="24"/>
          <w:lang w:val="ro-RO"/>
        </w:rPr>
        <w:t>Titlul proiectului de act normativ</w:t>
      </w:r>
    </w:p>
    <w:p w14:paraId="036B01EA" w14:textId="1F9F75B7" w:rsidR="00EF51F3" w:rsidRDefault="000E4553" w:rsidP="000E4553">
      <w:pPr>
        <w:pStyle w:val="Body"/>
        <w:spacing w:after="120"/>
        <w:jc w:val="center"/>
        <w:rPr>
          <w:rFonts w:ascii="Arial" w:hAnsi="Arial"/>
          <w:b/>
          <w:bCs/>
          <w:sz w:val="24"/>
          <w:szCs w:val="24"/>
          <w:lang w:val="ro-RO"/>
        </w:rPr>
      </w:pPr>
      <w:r w:rsidRPr="000E4553">
        <w:rPr>
          <w:rFonts w:ascii="Times New Roman" w:hAnsi="Times New Roman"/>
          <w:b/>
          <w:bCs/>
          <w:sz w:val="24"/>
          <w:szCs w:val="24"/>
          <w:lang w:val="ro-RO"/>
        </w:rPr>
        <w:t>Hotărâre de Guvern privind aprobarea Programului național de dotare cu echipamente a cabinetelor medicilor de familie sau asocieri de cabinete de asistență medicală, a Programului național de dotare cu echipamente a cabinetelor de planificare familială, a Programului național de dotare cu echipamente a centrelor comunitare integrate, a Programului național de dotare cu ambulanțe de terapie intensivă nou-născuți și a Programului național de dotare cu unități mobile de screening pentru cancer</w:t>
      </w:r>
    </w:p>
    <w:p w14:paraId="3B3530FF" w14:textId="77777777" w:rsidR="00EF51F3" w:rsidRDefault="00EF51F3" w:rsidP="00EF51F3">
      <w:pPr>
        <w:pStyle w:val="Body"/>
        <w:spacing w:after="120" w:line="240" w:lineRule="auto"/>
        <w:jc w:val="center"/>
        <w:rPr>
          <w:rFonts w:ascii="Times New Roman" w:eastAsia="Times New Roman" w:hAnsi="Times New Roman" w:cs="Times New Roman"/>
          <w:b/>
          <w:bCs/>
          <w:sz w:val="24"/>
          <w:szCs w:val="24"/>
          <w:lang w:val="ro-RO"/>
        </w:rPr>
      </w:pP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1753"/>
        <w:gridCol w:w="1645"/>
        <w:gridCol w:w="2219"/>
      </w:tblGrid>
      <w:tr w:rsidR="00EF51F3" w:rsidRPr="00151A33" w14:paraId="698A7296" w14:textId="77777777" w:rsidTr="006E1F32">
        <w:tc>
          <w:tcPr>
            <w:tcW w:w="4283" w:type="dxa"/>
            <w:tcBorders>
              <w:top w:val="single" w:sz="4" w:space="0" w:color="auto"/>
              <w:left w:val="single" w:sz="4" w:space="0" w:color="auto"/>
              <w:bottom w:val="single" w:sz="4" w:space="0" w:color="auto"/>
              <w:right w:val="single" w:sz="4" w:space="0" w:color="auto"/>
            </w:tcBorders>
          </w:tcPr>
          <w:p w14:paraId="02A568F4" w14:textId="77777777" w:rsidR="00EF51F3" w:rsidRPr="00977D3E" w:rsidRDefault="00EF51F3" w:rsidP="006E1F32">
            <w:pPr>
              <w:spacing w:line="256" w:lineRule="auto"/>
              <w:jc w:val="center"/>
              <w:rPr>
                <w:b/>
              </w:rPr>
            </w:pPr>
          </w:p>
          <w:p w14:paraId="1EB8029A" w14:textId="77777777" w:rsidR="00EF51F3" w:rsidRPr="00151A33" w:rsidRDefault="00EF51F3" w:rsidP="006E1F32">
            <w:pPr>
              <w:spacing w:line="256" w:lineRule="auto"/>
              <w:jc w:val="center"/>
              <w:rPr>
                <w:b/>
              </w:rPr>
            </w:pPr>
            <w:r w:rsidRPr="00151A33">
              <w:rPr>
                <w:b/>
              </w:rPr>
              <w:t>STRUCTURA</w:t>
            </w:r>
          </w:p>
          <w:p w14:paraId="14489D00" w14:textId="77777777" w:rsidR="00EF51F3" w:rsidRPr="00151A33" w:rsidRDefault="00EF51F3" w:rsidP="006E1F32">
            <w:pPr>
              <w:spacing w:line="256" w:lineRule="auto"/>
              <w:jc w:val="center"/>
              <w:rPr>
                <w:b/>
                <w:lang w:val="fr-FR"/>
              </w:rPr>
            </w:pPr>
          </w:p>
        </w:tc>
        <w:tc>
          <w:tcPr>
            <w:tcW w:w="1753" w:type="dxa"/>
            <w:tcBorders>
              <w:top w:val="single" w:sz="4" w:space="0" w:color="auto"/>
              <w:left w:val="single" w:sz="4" w:space="0" w:color="auto"/>
              <w:bottom w:val="single" w:sz="4" w:space="0" w:color="auto"/>
              <w:right w:val="single" w:sz="4" w:space="0" w:color="auto"/>
            </w:tcBorders>
          </w:tcPr>
          <w:p w14:paraId="40BBC551" w14:textId="77777777" w:rsidR="00EF51F3" w:rsidRPr="00151A33" w:rsidRDefault="00EF51F3" w:rsidP="006E1F32">
            <w:pPr>
              <w:spacing w:line="256" w:lineRule="auto"/>
              <w:jc w:val="center"/>
              <w:rPr>
                <w:b/>
                <w:lang w:val="fr-FR"/>
              </w:rPr>
            </w:pPr>
          </w:p>
          <w:p w14:paraId="7E8D96BA" w14:textId="77777777" w:rsidR="00EF51F3" w:rsidRPr="00151A33" w:rsidRDefault="00EF51F3" w:rsidP="006E1F32">
            <w:pPr>
              <w:spacing w:line="256" w:lineRule="auto"/>
              <w:jc w:val="center"/>
              <w:rPr>
                <w:b/>
              </w:rPr>
            </w:pPr>
            <w:r w:rsidRPr="00151A33">
              <w:rPr>
                <w:b/>
              </w:rPr>
              <w:t>DATA SOLICITARII AVIZULUI</w:t>
            </w:r>
          </w:p>
        </w:tc>
        <w:tc>
          <w:tcPr>
            <w:tcW w:w="1645" w:type="dxa"/>
            <w:tcBorders>
              <w:top w:val="single" w:sz="4" w:space="0" w:color="auto"/>
              <w:left w:val="single" w:sz="4" w:space="0" w:color="auto"/>
              <w:bottom w:val="single" w:sz="4" w:space="0" w:color="auto"/>
              <w:right w:val="single" w:sz="4" w:space="0" w:color="auto"/>
            </w:tcBorders>
          </w:tcPr>
          <w:p w14:paraId="18DC69C4" w14:textId="77777777" w:rsidR="00EF51F3" w:rsidRPr="00151A33" w:rsidRDefault="00EF51F3" w:rsidP="006E1F32">
            <w:pPr>
              <w:spacing w:line="256" w:lineRule="auto"/>
              <w:jc w:val="center"/>
              <w:rPr>
                <w:b/>
              </w:rPr>
            </w:pPr>
          </w:p>
          <w:p w14:paraId="5AD231FC" w14:textId="77777777" w:rsidR="00EF51F3" w:rsidRPr="00151A33" w:rsidRDefault="00EF51F3" w:rsidP="006E1F32">
            <w:pPr>
              <w:spacing w:line="256" w:lineRule="auto"/>
              <w:jc w:val="center"/>
              <w:rPr>
                <w:b/>
              </w:rPr>
            </w:pPr>
            <w:r w:rsidRPr="00151A33">
              <w:rPr>
                <w:b/>
              </w:rPr>
              <w:t>DATA OBTINERII AVIZULUI</w:t>
            </w:r>
          </w:p>
        </w:tc>
        <w:tc>
          <w:tcPr>
            <w:tcW w:w="2219" w:type="dxa"/>
            <w:tcBorders>
              <w:top w:val="single" w:sz="4" w:space="0" w:color="auto"/>
              <w:left w:val="single" w:sz="4" w:space="0" w:color="auto"/>
              <w:bottom w:val="single" w:sz="4" w:space="0" w:color="auto"/>
              <w:right w:val="single" w:sz="4" w:space="0" w:color="auto"/>
            </w:tcBorders>
          </w:tcPr>
          <w:p w14:paraId="4CD469B6" w14:textId="77777777" w:rsidR="00EF51F3" w:rsidRPr="00151A33" w:rsidRDefault="00EF51F3" w:rsidP="006E1F32">
            <w:pPr>
              <w:spacing w:line="256" w:lineRule="auto"/>
              <w:jc w:val="center"/>
              <w:rPr>
                <w:b/>
              </w:rPr>
            </w:pPr>
          </w:p>
          <w:p w14:paraId="0BE84ACE" w14:textId="77777777" w:rsidR="00EF51F3" w:rsidRPr="00151A33" w:rsidRDefault="00EF51F3" w:rsidP="006E1F32">
            <w:pPr>
              <w:spacing w:line="256" w:lineRule="auto"/>
              <w:jc w:val="center"/>
              <w:rPr>
                <w:b/>
              </w:rPr>
            </w:pPr>
            <w:r w:rsidRPr="00151A33">
              <w:rPr>
                <w:b/>
              </w:rPr>
              <w:t>SEMNĂTURA SEFULUI STRUCTURII AVIZATOARE</w:t>
            </w:r>
          </w:p>
        </w:tc>
      </w:tr>
      <w:tr w:rsidR="00EF51F3" w:rsidRPr="00151A33" w14:paraId="5AC56C33" w14:textId="77777777" w:rsidTr="006E1F32">
        <w:tc>
          <w:tcPr>
            <w:tcW w:w="9900" w:type="dxa"/>
            <w:gridSpan w:val="4"/>
            <w:tcBorders>
              <w:top w:val="single" w:sz="4" w:space="0" w:color="auto"/>
              <w:left w:val="single" w:sz="4" w:space="0" w:color="auto"/>
              <w:bottom w:val="single" w:sz="4" w:space="0" w:color="auto"/>
              <w:right w:val="single" w:sz="4" w:space="0" w:color="auto"/>
            </w:tcBorders>
          </w:tcPr>
          <w:p w14:paraId="7F5AD5B5" w14:textId="77777777" w:rsidR="00EF51F3" w:rsidRPr="00151A33" w:rsidRDefault="00EF51F3" w:rsidP="006E1F32">
            <w:pPr>
              <w:spacing w:line="256" w:lineRule="auto"/>
            </w:pPr>
            <w:r w:rsidRPr="00151A33">
              <w:rPr>
                <w:b/>
              </w:rPr>
              <w:t>STRUCTURA INITIATOARE</w:t>
            </w:r>
          </w:p>
        </w:tc>
      </w:tr>
      <w:tr w:rsidR="00EF51F3" w:rsidRPr="00151A33" w14:paraId="62D7615B" w14:textId="77777777" w:rsidTr="006E1F32">
        <w:tc>
          <w:tcPr>
            <w:tcW w:w="4283" w:type="dxa"/>
            <w:tcBorders>
              <w:top w:val="single" w:sz="4" w:space="0" w:color="auto"/>
              <w:left w:val="single" w:sz="4" w:space="0" w:color="auto"/>
              <w:bottom w:val="single" w:sz="4" w:space="0" w:color="auto"/>
              <w:right w:val="single" w:sz="4" w:space="0" w:color="auto"/>
            </w:tcBorders>
            <w:hideMark/>
          </w:tcPr>
          <w:p w14:paraId="62D4CCA6" w14:textId="77777777" w:rsidR="00EF51F3" w:rsidRPr="00977D3E" w:rsidRDefault="00EF51F3" w:rsidP="006E1F32">
            <w:pPr>
              <w:spacing w:line="256" w:lineRule="auto"/>
              <w:rPr>
                <w:rFonts w:cs="Arial Unicode MS"/>
                <w:b/>
                <w:bCs/>
                <w:color w:val="000000"/>
                <w:lang w:val="it-IT" w:bidi="en-US"/>
                <w14:textOutline w14:w="0" w14:cap="flat" w14:cmpd="sng" w14:algn="ctr">
                  <w14:noFill/>
                  <w14:prstDash w14:val="solid"/>
                  <w14:bevel/>
                </w14:textOutline>
              </w:rPr>
            </w:pPr>
            <w:bookmarkStart w:id="1" w:name="_Hlk108535222"/>
            <w:r w:rsidRPr="00977D3E">
              <w:rPr>
                <w:rFonts w:cs="Arial Unicode MS"/>
                <w:b/>
                <w:bCs/>
                <w:color w:val="000000"/>
                <w:lang w:val="it-IT" w:bidi="en-US"/>
                <w14:textOutline w14:w="0" w14:cap="flat" w14:cmpd="sng" w14:algn="ctr">
                  <w14:noFill/>
                  <w14:prstDash w14:val="solid"/>
                  <w14:bevel/>
                </w14:textOutline>
              </w:rPr>
              <w:t>DIRECȚIA GENERALĂ IMPLEMENTARE ȘI MONITORIZARE PROIECTE</w:t>
            </w:r>
          </w:p>
          <w:p w14:paraId="18BBDA44" w14:textId="77777777" w:rsidR="00EF51F3" w:rsidRPr="00977D3E" w:rsidRDefault="00EF51F3" w:rsidP="006E1F32">
            <w:pPr>
              <w:spacing w:line="256" w:lineRule="auto"/>
              <w:rPr>
                <w:rFonts w:cs="Arial Unicode MS"/>
                <w:b/>
                <w:bCs/>
                <w:color w:val="000000"/>
                <w:lang w:val="it-IT" w:bidi="en-US"/>
                <w14:textOutline w14:w="0" w14:cap="flat" w14:cmpd="sng" w14:algn="ctr">
                  <w14:noFill/>
                  <w14:prstDash w14:val="solid"/>
                  <w14:bevel/>
                </w14:textOutline>
              </w:rPr>
            </w:pPr>
          </w:p>
          <w:bookmarkEnd w:id="1"/>
          <w:p w14:paraId="79B133FF" w14:textId="77777777" w:rsidR="00EF51F3" w:rsidRPr="00884A81" w:rsidRDefault="00EF51F3" w:rsidP="006E1F32">
            <w:pPr>
              <w:spacing w:line="256" w:lineRule="auto"/>
              <w:rPr>
                <w:rFonts w:cs="Arial Unicode MS"/>
                <w:b/>
                <w:bCs/>
                <w:color w:val="000000"/>
                <w:lang w:bidi="en-US"/>
                <w14:textOutline w14:w="0" w14:cap="flat" w14:cmpd="sng" w14:algn="ctr">
                  <w14:noFill/>
                  <w14:prstDash w14:val="solid"/>
                  <w14:bevel/>
                </w14:textOutline>
              </w:rPr>
            </w:pPr>
            <w:r w:rsidRPr="00884A81">
              <w:rPr>
                <w:rFonts w:cs="Arial Unicode MS"/>
                <w:b/>
                <w:bCs/>
                <w:color w:val="000000"/>
                <w:lang w:bidi="en-US"/>
                <w14:textOutline w14:w="0" w14:cap="flat" w14:cmpd="sng" w14:algn="ctr">
                  <w14:noFill/>
                  <w14:prstDash w14:val="solid"/>
                  <w14:bevel/>
                </w14:textOutline>
              </w:rPr>
              <w:t>DIRECTOR GENERAL</w:t>
            </w:r>
            <w:r>
              <w:rPr>
                <w:rFonts w:cs="Arial Unicode MS"/>
                <w:b/>
                <w:bCs/>
                <w:color w:val="000000"/>
                <w:lang w:bidi="en-US"/>
                <w14:textOutline w14:w="0" w14:cap="flat" w14:cmpd="sng" w14:algn="ctr">
                  <w14:noFill/>
                  <w14:prstDash w14:val="solid"/>
                  <w14:bevel/>
                </w14:textOutline>
              </w:rPr>
              <w:t xml:space="preserve"> ADJUNCT</w:t>
            </w:r>
          </w:p>
          <w:p w14:paraId="1E24C0EA" w14:textId="77777777" w:rsidR="00EF51F3" w:rsidRPr="00151A33" w:rsidRDefault="00EF51F3" w:rsidP="006E1F32">
            <w:pPr>
              <w:jc w:val="both"/>
              <w:rPr>
                <w:lang w:val="fr-FR"/>
              </w:rPr>
            </w:pPr>
            <w:r>
              <w:rPr>
                <w:rFonts w:cs="Arial Unicode MS"/>
                <w:b/>
                <w:bCs/>
                <w:color w:val="000000"/>
                <w:lang w:bidi="en-US"/>
                <w14:textOutline w14:w="0" w14:cap="flat" w14:cmpd="sng" w14:algn="ctr">
                  <w14:noFill/>
                  <w14:prstDash w14:val="solid"/>
                  <w14:bevel/>
                </w14:textOutline>
              </w:rPr>
              <w:t>LAURA PETCU</w:t>
            </w:r>
          </w:p>
        </w:tc>
        <w:tc>
          <w:tcPr>
            <w:tcW w:w="1753" w:type="dxa"/>
            <w:tcBorders>
              <w:top w:val="single" w:sz="4" w:space="0" w:color="auto"/>
              <w:left w:val="single" w:sz="4" w:space="0" w:color="auto"/>
              <w:bottom w:val="single" w:sz="4" w:space="0" w:color="auto"/>
              <w:right w:val="single" w:sz="4" w:space="0" w:color="auto"/>
            </w:tcBorders>
          </w:tcPr>
          <w:p w14:paraId="03098D7B" w14:textId="77777777" w:rsidR="00EF51F3" w:rsidRPr="00151A33" w:rsidRDefault="00EF51F3" w:rsidP="006E1F32">
            <w:pPr>
              <w:spacing w:line="256" w:lineRule="auto"/>
              <w:rPr>
                <w:lang w:val="fr-FR"/>
              </w:rPr>
            </w:pPr>
          </w:p>
        </w:tc>
        <w:tc>
          <w:tcPr>
            <w:tcW w:w="1645" w:type="dxa"/>
            <w:tcBorders>
              <w:top w:val="single" w:sz="4" w:space="0" w:color="auto"/>
              <w:left w:val="single" w:sz="4" w:space="0" w:color="auto"/>
              <w:bottom w:val="single" w:sz="4" w:space="0" w:color="auto"/>
              <w:right w:val="single" w:sz="4" w:space="0" w:color="auto"/>
            </w:tcBorders>
          </w:tcPr>
          <w:p w14:paraId="20854B34" w14:textId="77777777" w:rsidR="00EF51F3" w:rsidRPr="00151A33" w:rsidRDefault="00EF51F3" w:rsidP="006E1F32">
            <w:pPr>
              <w:spacing w:line="256" w:lineRule="auto"/>
              <w:rPr>
                <w:lang w:val="fr-FR"/>
              </w:rPr>
            </w:pPr>
          </w:p>
        </w:tc>
        <w:tc>
          <w:tcPr>
            <w:tcW w:w="2219" w:type="dxa"/>
            <w:tcBorders>
              <w:top w:val="single" w:sz="4" w:space="0" w:color="auto"/>
              <w:left w:val="single" w:sz="4" w:space="0" w:color="auto"/>
              <w:bottom w:val="single" w:sz="4" w:space="0" w:color="auto"/>
              <w:right w:val="single" w:sz="4" w:space="0" w:color="auto"/>
            </w:tcBorders>
          </w:tcPr>
          <w:p w14:paraId="34A2C11E" w14:textId="77777777" w:rsidR="00EF51F3" w:rsidRPr="00151A33" w:rsidRDefault="00EF51F3" w:rsidP="006E1F32">
            <w:pPr>
              <w:spacing w:line="256" w:lineRule="auto"/>
              <w:rPr>
                <w:lang w:val="fr-FR"/>
              </w:rPr>
            </w:pPr>
          </w:p>
        </w:tc>
      </w:tr>
      <w:tr w:rsidR="00EF51F3" w:rsidRPr="00151A33" w14:paraId="611F0502" w14:textId="77777777" w:rsidTr="006E1F32">
        <w:tc>
          <w:tcPr>
            <w:tcW w:w="9900" w:type="dxa"/>
            <w:gridSpan w:val="4"/>
            <w:tcBorders>
              <w:top w:val="single" w:sz="4" w:space="0" w:color="auto"/>
              <w:left w:val="single" w:sz="4" w:space="0" w:color="auto"/>
              <w:bottom w:val="single" w:sz="4" w:space="0" w:color="auto"/>
              <w:right w:val="single" w:sz="4" w:space="0" w:color="auto"/>
            </w:tcBorders>
            <w:hideMark/>
          </w:tcPr>
          <w:p w14:paraId="7BBEC881" w14:textId="77777777" w:rsidR="00EF51F3" w:rsidRPr="00151A33" w:rsidRDefault="00EF51F3" w:rsidP="006E1F32">
            <w:pPr>
              <w:spacing w:line="256" w:lineRule="auto"/>
            </w:pPr>
            <w:r w:rsidRPr="00151A33">
              <w:rPr>
                <w:b/>
              </w:rPr>
              <w:t>STRUCTURA AVIZATOARE</w:t>
            </w:r>
          </w:p>
        </w:tc>
      </w:tr>
      <w:tr w:rsidR="00EF51F3" w:rsidRPr="00977D3E" w14:paraId="675C8E2A" w14:textId="77777777" w:rsidTr="006E1F32">
        <w:tc>
          <w:tcPr>
            <w:tcW w:w="4283" w:type="dxa"/>
            <w:tcBorders>
              <w:top w:val="single" w:sz="4" w:space="0" w:color="auto"/>
              <w:left w:val="single" w:sz="4" w:space="0" w:color="auto"/>
              <w:bottom w:val="single" w:sz="4" w:space="0" w:color="auto"/>
              <w:right w:val="single" w:sz="4" w:space="0" w:color="auto"/>
            </w:tcBorders>
            <w:hideMark/>
          </w:tcPr>
          <w:p w14:paraId="7E0FF936" w14:textId="77777777" w:rsidR="00EF51F3" w:rsidRPr="00977D3E" w:rsidRDefault="00EF51F3" w:rsidP="006E1F32">
            <w:pPr>
              <w:spacing w:line="256" w:lineRule="auto"/>
              <w:rPr>
                <w:b/>
                <w:lang w:val="es-ES"/>
              </w:rPr>
            </w:pPr>
            <w:r w:rsidRPr="00977D3E">
              <w:rPr>
                <w:b/>
                <w:lang w:val="es-ES"/>
              </w:rPr>
              <w:t>DIRECTIA GENERAL</w:t>
            </w:r>
            <w:r w:rsidRPr="0066158A">
              <w:rPr>
                <w:b/>
              </w:rPr>
              <w:t>Ă JURIDICĂ</w:t>
            </w:r>
            <w:r w:rsidRPr="00977D3E">
              <w:rPr>
                <w:b/>
                <w:lang w:val="es-ES"/>
              </w:rPr>
              <w:t xml:space="preserve"> </w:t>
            </w:r>
          </w:p>
          <w:p w14:paraId="45D88481" w14:textId="77777777" w:rsidR="00EF51F3" w:rsidRPr="00977D3E" w:rsidRDefault="00EF51F3" w:rsidP="006E1F32">
            <w:pPr>
              <w:spacing w:line="256" w:lineRule="auto"/>
              <w:rPr>
                <w:b/>
                <w:lang w:val="es-ES"/>
              </w:rPr>
            </w:pPr>
          </w:p>
          <w:p w14:paraId="1E601452" w14:textId="77777777" w:rsidR="00EF51F3" w:rsidRPr="00977D3E" w:rsidRDefault="00EF51F3" w:rsidP="006E1F32">
            <w:pPr>
              <w:spacing w:line="256" w:lineRule="auto"/>
              <w:rPr>
                <w:b/>
                <w:lang w:val="es-ES"/>
              </w:rPr>
            </w:pPr>
            <w:r w:rsidRPr="00977D3E">
              <w:rPr>
                <w:b/>
                <w:lang w:val="es-ES"/>
              </w:rPr>
              <w:t>DIRECTOR GENERAL</w:t>
            </w:r>
          </w:p>
          <w:p w14:paraId="66F83DE4" w14:textId="77777777" w:rsidR="00EF51F3" w:rsidRPr="00977D3E" w:rsidRDefault="00EF51F3" w:rsidP="006E1F32">
            <w:pPr>
              <w:spacing w:line="256" w:lineRule="auto"/>
              <w:rPr>
                <w:b/>
                <w:lang w:val="es-ES"/>
              </w:rPr>
            </w:pPr>
            <w:r w:rsidRPr="00977D3E">
              <w:rPr>
                <w:b/>
                <w:lang w:val="es-ES"/>
              </w:rPr>
              <w:t>IONUȚ SEBASTIAN IAVOR</w:t>
            </w:r>
          </w:p>
          <w:p w14:paraId="5C6B4531" w14:textId="77777777" w:rsidR="00EF51F3" w:rsidRPr="00977D3E" w:rsidRDefault="00EF51F3" w:rsidP="006E1F32">
            <w:pPr>
              <w:spacing w:line="256" w:lineRule="auto"/>
              <w:rPr>
                <w:b/>
                <w:lang w:val="es-ES"/>
              </w:rPr>
            </w:pPr>
          </w:p>
        </w:tc>
        <w:tc>
          <w:tcPr>
            <w:tcW w:w="1753" w:type="dxa"/>
            <w:tcBorders>
              <w:top w:val="single" w:sz="4" w:space="0" w:color="auto"/>
              <w:left w:val="single" w:sz="4" w:space="0" w:color="auto"/>
              <w:bottom w:val="single" w:sz="4" w:space="0" w:color="auto"/>
              <w:right w:val="single" w:sz="4" w:space="0" w:color="auto"/>
            </w:tcBorders>
          </w:tcPr>
          <w:p w14:paraId="1A4A6230" w14:textId="77777777" w:rsidR="00EF51F3" w:rsidRPr="00977D3E" w:rsidRDefault="00EF51F3" w:rsidP="006E1F32">
            <w:pPr>
              <w:spacing w:line="256" w:lineRule="auto"/>
              <w:rPr>
                <w:lang w:val="es-ES"/>
              </w:rPr>
            </w:pPr>
          </w:p>
        </w:tc>
        <w:tc>
          <w:tcPr>
            <w:tcW w:w="1645" w:type="dxa"/>
            <w:tcBorders>
              <w:top w:val="single" w:sz="4" w:space="0" w:color="auto"/>
              <w:left w:val="single" w:sz="4" w:space="0" w:color="auto"/>
              <w:bottom w:val="single" w:sz="4" w:space="0" w:color="auto"/>
              <w:right w:val="single" w:sz="4" w:space="0" w:color="auto"/>
            </w:tcBorders>
          </w:tcPr>
          <w:p w14:paraId="32A588CE" w14:textId="77777777" w:rsidR="00EF51F3" w:rsidRPr="00977D3E" w:rsidRDefault="00EF51F3" w:rsidP="006E1F32">
            <w:pPr>
              <w:spacing w:line="256" w:lineRule="auto"/>
              <w:rPr>
                <w:lang w:val="es-ES"/>
              </w:rPr>
            </w:pPr>
          </w:p>
        </w:tc>
        <w:tc>
          <w:tcPr>
            <w:tcW w:w="2219" w:type="dxa"/>
            <w:tcBorders>
              <w:top w:val="single" w:sz="4" w:space="0" w:color="auto"/>
              <w:left w:val="single" w:sz="4" w:space="0" w:color="auto"/>
              <w:bottom w:val="single" w:sz="4" w:space="0" w:color="auto"/>
              <w:right w:val="single" w:sz="4" w:space="0" w:color="auto"/>
            </w:tcBorders>
          </w:tcPr>
          <w:p w14:paraId="137E179D" w14:textId="77777777" w:rsidR="00EF51F3" w:rsidRPr="00977D3E" w:rsidRDefault="00EF51F3" w:rsidP="006E1F32">
            <w:pPr>
              <w:spacing w:line="256" w:lineRule="auto"/>
              <w:rPr>
                <w:lang w:val="es-ES"/>
              </w:rPr>
            </w:pPr>
          </w:p>
        </w:tc>
      </w:tr>
      <w:tr w:rsidR="00EF51F3" w:rsidRPr="00151A33" w14:paraId="1EDB96CB" w14:textId="77777777" w:rsidTr="006E1F32">
        <w:tc>
          <w:tcPr>
            <w:tcW w:w="4283" w:type="dxa"/>
            <w:tcBorders>
              <w:top w:val="single" w:sz="4" w:space="0" w:color="auto"/>
              <w:left w:val="single" w:sz="4" w:space="0" w:color="auto"/>
              <w:bottom w:val="single" w:sz="4" w:space="0" w:color="auto"/>
              <w:right w:val="single" w:sz="4" w:space="0" w:color="auto"/>
            </w:tcBorders>
          </w:tcPr>
          <w:p w14:paraId="64C6E0EF" w14:textId="77777777" w:rsidR="00EF51F3" w:rsidRDefault="00EF51F3" w:rsidP="006E1F32">
            <w:pPr>
              <w:spacing w:line="256" w:lineRule="auto"/>
              <w:rPr>
                <w:b/>
              </w:rPr>
            </w:pPr>
            <w:r w:rsidRPr="00151A33">
              <w:rPr>
                <w:b/>
              </w:rPr>
              <w:t>SERVICIUL AVIZARE ACTE NORMATIVE</w:t>
            </w:r>
          </w:p>
          <w:p w14:paraId="3CB01E72" w14:textId="77777777" w:rsidR="00EF51F3" w:rsidRPr="00151A33" w:rsidRDefault="00EF51F3" w:rsidP="006E1F32">
            <w:pPr>
              <w:spacing w:line="256" w:lineRule="auto"/>
              <w:rPr>
                <w:b/>
              </w:rPr>
            </w:pPr>
          </w:p>
          <w:p w14:paraId="4B8CCB4A" w14:textId="77777777" w:rsidR="00EF51F3" w:rsidRDefault="00EF51F3" w:rsidP="006E1F32">
            <w:pPr>
              <w:spacing w:line="256" w:lineRule="auto"/>
              <w:rPr>
                <w:b/>
              </w:rPr>
            </w:pPr>
            <w:r w:rsidRPr="00151A33">
              <w:rPr>
                <w:b/>
              </w:rPr>
              <w:t xml:space="preserve">ȘEF SERVICIU </w:t>
            </w:r>
          </w:p>
          <w:p w14:paraId="735FA17C" w14:textId="77777777" w:rsidR="00EF51F3" w:rsidRPr="00151A33" w:rsidRDefault="00EF51F3" w:rsidP="006E1F32">
            <w:pPr>
              <w:spacing w:line="256" w:lineRule="auto"/>
              <w:rPr>
                <w:b/>
              </w:rPr>
            </w:pPr>
            <w:r w:rsidRPr="00151A33">
              <w:rPr>
                <w:b/>
              </w:rPr>
              <w:t>DANA CONSTANȚA EFTIMIE</w:t>
            </w:r>
          </w:p>
          <w:p w14:paraId="36C2F674" w14:textId="77777777" w:rsidR="00EF51F3" w:rsidRPr="00151A33" w:rsidRDefault="00EF51F3" w:rsidP="006E1F32">
            <w:pPr>
              <w:spacing w:line="256" w:lineRule="auto"/>
            </w:pPr>
          </w:p>
        </w:tc>
        <w:tc>
          <w:tcPr>
            <w:tcW w:w="1753" w:type="dxa"/>
            <w:tcBorders>
              <w:top w:val="single" w:sz="4" w:space="0" w:color="auto"/>
              <w:left w:val="single" w:sz="4" w:space="0" w:color="auto"/>
              <w:bottom w:val="single" w:sz="4" w:space="0" w:color="auto"/>
              <w:right w:val="single" w:sz="4" w:space="0" w:color="auto"/>
            </w:tcBorders>
          </w:tcPr>
          <w:p w14:paraId="707582E6" w14:textId="77777777" w:rsidR="00EF51F3" w:rsidRPr="00151A33" w:rsidRDefault="00EF51F3" w:rsidP="006E1F32">
            <w:pPr>
              <w:spacing w:line="256" w:lineRule="auto"/>
            </w:pPr>
          </w:p>
        </w:tc>
        <w:tc>
          <w:tcPr>
            <w:tcW w:w="1645" w:type="dxa"/>
            <w:tcBorders>
              <w:top w:val="single" w:sz="4" w:space="0" w:color="auto"/>
              <w:left w:val="single" w:sz="4" w:space="0" w:color="auto"/>
              <w:bottom w:val="single" w:sz="4" w:space="0" w:color="auto"/>
              <w:right w:val="single" w:sz="4" w:space="0" w:color="auto"/>
            </w:tcBorders>
          </w:tcPr>
          <w:p w14:paraId="672BABB0" w14:textId="77777777" w:rsidR="00EF51F3" w:rsidRPr="00151A33" w:rsidRDefault="00EF51F3" w:rsidP="006E1F32">
            <w:pPr>
              <w:spacing w:line="256" w:lineRule="auto"/>
            </w:pPr>
          </w:p>
        </w:tc>
        <w:tc>
          <w:tcPr>
            <w:tcW w:w="2219" w:type="dxa"/>
            <w:tcBorders>
              <w:top w:val="single" w:sz="4" w:space="0" w:color="auto"/>
              <w:left w:val="single" w:sz="4" w:space="0" w:color="auto"/>
              <w:bottom w:val="single" w:sz="4" w:space="0" w:color="auto"/>
              <w:right w:val="single" w:sz="4" w:space="0" w:color="auto"/>
            </w:tcBorders>
          </w:tcPr>
          <w:p w14:paraId="11665BC7" w14:textId="77777777" w:rsidR="00EF51F3" w:rsidRPr="00151A33" w:rsidRDefault="00EF51F3" w:rsidP="006E1F32">
            <w:pPr>
              <w:spacing w:line="256" w:lineRule="auto"/>
            </w:pPr>
          </w:p>
        </w:tc>
      </w:tr>
      <w:tr w:rsidR="00EF51F3" w:rsidRPr="00151A33" w14:paraId="7FAC0057" w14:textId="77777777" w:rsidTr="006E1F32">
        <w:tc>
          <w:tcPr>
            <w:tcW w:w="4283" w:type="dxa"/>
            <w:tcBorders>
              <w:top w:val="single" w:sz="4" w:space="0" w:color="auto"/>
              <w:left w:val="single" w:sz="4" w:space="0" w:color="auto"/>
              <w:bottom w:val="single" w:sz="4" w:space="0" w:color="auto"/>
              <w:right w:val="single" w:sz="4" w:space="0" w:color="auto"/>
            </w:tcBorders>
          </w:tcPr>
          <w:p w14:paraId="6FBDD78A" w14:textId="77777777" w:rsidR="00EF51F3" w:rsidRDefault="00EF51F3" w:rsidP="006E1F32">
            <w:pPr>
              <w:spacing w:line="256" w:lineRule="auto"/>
              <w:rPr>
                <w:b/>
              </w:rPr>
            </w:pPr>
            <w:r>
              <w:rPr>
                <w:b/>
              </w:rPr>
              <w:t>SECRETAR DE STAT</w:t>
            </w:r>
          </w:p>
          <w:p w14:paraId="56E3ABBA" w14:textId="21F47F67" w:rsidR="00EF51F3" w:rsidRPr="00151A33" w:rsidRDefault="00EF51F3" w:rsidP="006E1F32">
            <w:pPr>
              <w:spacing w:line="256" w:lineRule="auto"/>
              <w:rPr>
                <w:b/>
              </w:rPr>
            </w:pPr>
            <w:r>
              <w:rPr>
                <w:b/>
              </w:rPr>
              <w:t>ALEXANDRU FLORIN ROGOBETE</w:t>
            </w:r>
          </w:p>
        </w:tc>
        <w:tc>
          <w:tcPr>
            <w:tcW w:w="1753" w:type="dxa"/>
            <w:tcBorders>
              <w:top w:val="single" w:sz="4" w:space="0" w:color="auto"/>
              <w:left w:val="single" w:sz="4" w:space="0" w:color="auto"/>
              <w:bottom w:val="single" w:sz="4" w:space="0" w:color="auto"/>
              <w:right w:val="single" w:sz="4" w:space="0" w:color="auto"/>
            </w:tcBorders>
          </w:tcPr>
          <w:p w14:paraId="13B7E769" w14:textId="77777777" w:rsidR="00EF51F3" w:rsidRDefault="00EF51F3" w:rsidP="006E1F32">
            <w:pPr>
              <w:spacing w:line="256" w:lineRule="auto"/>
            </w:pPr>
          </w:p>
          <w:p w14:paraId="45C8A41C" w14:textId="77777777" w:rsidR="00EF51F3" w:rsidRDefault="00EF51F3" w:rsidP="006E1F32">
            <w:pPr>
              <w:spacing w:line="256" w:lineRule="auto"/>
            </w:pPr>
          </w:p>
          <w:p w14:paraId="773FD389" w14:textId="11355348" w:rsidR="00EF51F3" w:rsidRPr="00151A33" w:rsidRDefault="00EF51F3" w:rsidP="006E1F32">
            <w:pPr>
              <w:spacing w:line="256" w:lineRule="auto"/>
            </w:pPr>
          </w:p>
        </w:tc>
        <w:tc>
          <w:tcPr>
            <w:tcW w:w="1645" w:type="dxa"/>
            <w:tcBorders>
              <w:top w:val="single" w:sz="4" w:space="0" w:color="auto"/>
              <w:left w:val="single" w:sz="4" w:space="0" w:color="auto"/>
              <w:bottom w:val="single" w:sz="4" w:space="0" w:color="auto"/>
              <w:right w:val="single" w:sz="4" w:space="0" w:color="auto"/>
            </w:tcBorders>
          </w:tcPr>
          <w:p w14:paraId="66A32E38" w14:textId="77777777" w:rsidR="00EF51F3" w:rsidRPr="00151A33" w:rsidRDefault="00EF51F3" w:rsidP="006E1F32">
            <w:pPr>
              <w:spacing w:line="256" w:lineRule="auto"/>
            </w:pPr>
          </w:p>
        </w:tc>
        <w:tc>
          <w:tcPr>
            <w:tcW w:w="2219" w:type="dxa"/>
            <w:tcBorders>
              <w:top w:val="single" w:sz="4" w:space="0" w:color="auto"/>
              <w:left w:val="single" w:sz="4" w:space="0" w:color="auto"/>
              <w:bottom w:val="single" w:sz="4" w:space="0" w:color="auto"/>
              <w:right w:val="single" w:sz="4" w:space="0" w:color="auto"/>
            </w:tcBorders>
          </w:tcPr>
          <w:p w14:paraId="1D311980" w14:textId="77777777" w:rsidR="00EF51F3" w:rsidRPr="00151A33" w:rsidRDefault="00EF51F3" w:rsidP="006E1F32">
            <w:pPr>
              <w:spacing w:line="256" w:lineRule="auto"/>
            </w:pPr>
          </w:p>
        </w:tc>
      </w:tr>
      <w:tr w:rsidR="00EF51F3" w:rsidRPr="00151A33" w14:paraId="59ADE3A7" w14:textId="77777777" w:rsidTr="006E1F32">
        <w:tc>
          <w:tcPr>
            <w:tcW w:w="4283" w:type="dxa"/>
            <w:tcBorders>
              <w:top w:val="single" w:sz="4" w:space="0" w:color="auto"/>
              <w:left w:val="single" w:sz="4" w:space="0" w:color="auto"/>
              <w:bottom w:val="single" w:sz="4" w:space="0" w:color="auto"/>
              <w:right w:val="single" w:sz="4" w:space="0" w:color="auto"/>
            </w:tcBorders>
          </w:tcPr>
          <w:p w14:paraId="6934B7BF" w14:textId="77777777" w:rsidR="00EF51F3" w:rsidRPr="00151A33" w:rsidRDefault="00EF51F3" w:rsidP="006E1F32">
            <w:pPr>
              <w:spacing w:line="256" w:lineRule="auto"/>
              <w:rPr>
                <w:b/>
              </w:rPr>
            </w:pPr>
            <w:r w:rsidRPr="00151A33">
              <w:rPr>
                <w:b/>
              </w:rPr>
              <w:t>SECRETAR GENERAL</w:t>
            </w:r>
          </w:p>
          <w:p w14:paraId="3CE78965" w14:textId="77777777" w:rsidR="00EF51F3" w:rsidRDefault="00EF51F3" w:rsidP="006E1F32">
            <w:pPr>
              <w:spacing w:line="256" w:lineRule="auto"/>
              <w:rPr>
                <w:b/>
                <w:bCs/>
              </w:rPr>
            </w:pPr>
            <w:r>
              <w:rPr>
                <w:b/>
                <w:bCs/>
              </w:rPr>
              <w:t>MIHAI ALEXANDRU BORCAN</w:t>
            </w:r>
          </w:p>
          <w:p w14:paraId="2679F799" w14:textId="76191FD8" w:rsidR="003A603C" w:rsidRPr="00151A33" w:rsidRDefault="003A603C" w:rsidP="006E1F32">
            <w:pPr>
              <w:spacing w:line="256" w:lineRule="auto"/>
              <w:rPr>
                <w:b/>
              </w:rPr>
            </w:pPr>
          </w:p>
        </w:tc>
        <w:tc>
          <w:tcPr>
            <w:tcW w:w="1753" w:type="dxa"/>
            <w:tcBorders>
              <w:top w:val="single" w:sz="4" w:space="0" w:color="auto"/>
              <w:left w:val="single" w:sz="4" w:space="0" w:color="auto"/>
              <w:bottom w:val="single" w:sz="4" w:space="0" w:color="auto"/>
              <w:right w:val="single" w:sz="4" w:space="0" w:color="auto"/>
            </w:tcBorders>
          </w:tcPr>
          <w:p w14:paraId="0DBDED66" w14:textId="77777777" w:rsidR="00EF51F3" w:rsidRDefault="00EF51F3" w:rsidP="006E1F32">
            <w:pPr>
              <w:spacing w:line="256" w:lineRule="auto"/>
            </w:pPr>
          </w:p>
          <w:p w14:paraId="74582B35" w14:textId="77777777" w:rsidR="00EF51F3" w:rsidRDefault="00EF51F3" w:rsidP="006E1F32">
            <w:pPr>
              <w:spacing w:line="256" w:lineRule="auto"/>
            </w:pPr>
          </w:p>
          <w:p w14:paraId="301C80EC" w14:textId="4A492D35" w:rsidR="00EF51F3" w:rsidRPr="00151A33" w:rsidRDefault="00EF51F3" w:rsidP="006E1F32">
            <w:pPr>
              <w:spacing w:line="256" w:lineRule="auto"/>
            </w:pPr>
          </w:p>
        </w:tc>
        <w:tc>
          <w:tcPr>
            <w:tcW w:w="1645" w:type="dxa"/>
            <w:tcBorders>
              <w:top w:val="single" w:sz="4" w:space="0" w:color="auto"/>
              <w:left w:val="single" w:sz="4" w:space="0" w:color="auto"/>
              <w:bottom w:val="single" w:sz="4" w:space="0" w:color="auto"/>
              <w:right w:val="single" w:sz="4" w:space="0" w:color="auto"/>
            </w:tcBorders>
          </w:tcPr>
          <w:p w14:paraId="508ABD7E" w14:textId="77777777" w:rsidR="00EF51F3" w:rsidRPr="00151A33" w:rsidRDefault="00EF51F3" w:rsidP="006E1F32">
            <w:pPr>
              <w:spacing w:line="256" w:lineRule="auto"/>
            </w:pPr>
          </w:p>
        </w:tc>
        <w:tc>
          <w:tcPr>
            <w:tcW w:w="2219" w:type="dxa"/>
            <w:tcBorders>
              <w:top w:val="single" w:sz="4" w:space="0" w:color="auto"/>
              <w:left w:val="single" w:sz="4" w:space="0" w:color="auto"/>
              <w:bottom w:val="single" w:sz="4" w:space="0" w:color="auto"/>
              <w:right w:val="single" w:sz="4" w:space="0" w:color="auto"/>
            </w:tcBorders>
          </w:tcPr>
          <w:p w14:paraId="759469DB" w14:textId="77777777" w:rsidR="00EF51F3" w:rsidRPr="00151A33" w:rsidRDefault="00EF51F3" w:rsidP="006E1F32">
            <w:pPr>
              <w:spacing w:line="256" w:lineRule="auto"/>
            </w:pPr>
          </w:p>
        </w:tc>
      </w:tr>
    </w:tbl>
    <w:p w14:paraId="7F03697C" w14:textId="77777777" w:rsidR="00EF51F3" w:rsidRDefault="00EF51F3" w:rsidP="00EF51F3">
      <w:pPr>
        <w:pStyle w:val="Body"/>
        <w:spacing w:after="120" w:line="240" w:lineRule="auto"/>
        <w:jc w:val="both"/>
        <w:rPr>
          <w:rFonts w:ascii="Times New Roman" w:eastAsia="Times New Roman" w:hAnsi="Times New Roman" w:cs="Times New Roman"/>
          <w:b/>
          <w:bCs/>
          <w:sz w:val="24"/>
          <w:szCs w:val="24"/>
          <w:lang w:val="ro-RO"/>
        </w:rPr>
      </w:pPr>
    </w:p>
    <w:p w14:paraId="12C80698" w14:textId="77777777" w:rsidR="00590335" w:rsidRPr="00F73AB8" w:rsidRDefault="00590335" w:rsidP="00AA4930">
      <w:pPr>
        <w:jc w:val="both"/>
      </w:pPr>
    </w:p>
    <w:sectPr w:rsidR="00590335" w:rsidRPr="00F73AB8" w:rsidSect="008E1534">
      <w:footerReference w:type="even" r:id="rId8"/>
      <w:footerReference w:type="default" r:id="rId9"/>
      <w:pgSz w:w="12240" w:h="15840"/>
      <w:pgMar w:top="737" w:right="851" w:bottom="3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4A2EF" w14:textId="77777777" w:rsidR="002650F1" w:rsidRDefault="002650F1">
      <w:r>
        <w:separator/>
      </w:r>
    </w:p>
  </w:endnote>
  <w:endnote w:type="continuationSeparator" w:id="0">
    <w:p w14:paraId="7998216C" w14:textId="77777777" w:rsidR="002650F1" w:rsidRDefault="0026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F39D" w14:textId="3E963199" w:rsidR="00255292" w:rsidRDefault="00255292" w:rsidP="00AC7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51F3">
      <w:rPr>
        <w:rStyle w:val="PageNumber"/>
        <w:noProof/>
      </w:rPr>
      <w:t>1</w:t>
    </w:r>
    <w:r>
      <w:rPr>
        <w:rStyle w:val="PageNumber"/>
      </w:rPr>
      <w:fldChar w:fldCharType="end"/>
    </w:r>
  </w:p>
  <w:p w14:paraId="7309B954" w14:textId="77777777" w:rsidR="00255292" w:rsidRDefault="00255292" w:rsidP="001C5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319508"/>
      <w:docPartObj>
        <w:docPartGallery w:val="Page Numbers (Bottom of Page)"/>
        <w:docPartUnique/>
      </w:docPartObj>
    </w:sdtPr>
    <w:sdtEndPr>
      <w:rPr>
        <w:noProof/>
      </w:rPr>
    </w:sdtEndPr>
    <w:sdtContent>
      <w:p w14:paraId="777E014D" w14:textId="23968321" w:rsidR="00EF51F3" w:rsidRDefault="00EF51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901C59" w14:textId="77777777" w:rsidR="00255292" w:rsidRDefault="00255292" w:rsidP="001C58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DC84" w14:textId="77777777" w:rsidR="002650F1" w:rsidRDefault="002650F1">
      <w:r>
        <w:separator/>
      </w:r>
    </w:p>
  </w:footnote>
  <w:footnote w:type="continuationSeparator" w:id="0">
    <w:p w14:paraId="77618D5D" w14:textId="77777777" w:rsidR="002650F1" w:rsidRDefault="00265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65A5"/>
    <w:multiLevelType w:val="hybridMultilevel"/>
    <w:tmpl w:val="55CA82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A3863"/>
    <w:multiLevelType w:val="hybridMultilevel"/>
    <w:tmpl w:val="8F3EDD4E"/>
    <w:lvl w:ilvl="0" w:tplc="FF4228E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5691C"/>
    <w:multiLevelType w:val="hybridMultilevel"/>
    <w:tmpl w:val="50C86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32874"/>
    <w:multiLevelType w:val="hybridMultilevel"/>
    <w:tmpl w:val="668C7A80"/>
    <w:lvl w:ilvl="0" w:tplc="187817B8">
      <w:start w:val="2"/>
      <w:numFmt w:val="bullet"/>
      <w:lvlText w:val="-"/>
      <w:lvlJc w:val="left"/>
      <w:pPr>
        <w:tabs>
          <w:tab w:val="num" w:pos="720"/>
        </w:tabs>
        <w:ind w:left="720" w:hanging="360"/>
      </w:pPr>
      <w:rPr>
        <w:rFonts w:ascii="Times New Roman" w:eastAsia="Times New Roman" w:hAnsi="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52885"/>
    <w:multiLevelType w:val="hybridMultilevel"/>
    <w:tmpl w:val="228A6CCC"/>
    <w:lvl w:ilvl="0" w:tplc="788AA9C2">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36030"/>
    <w:multiLevelType w:val="hybridMultilevel"/>
    <w:tmpl w:val="385A201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A3487A"/>
    <w:multiLevelType w:val="hybridMultilevel"/>
    <w:tmpl w:val="76A40B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5E3BB0"/>
    <w:multiLevelType w:val="hybridMultilevel"/>
    <w:tmpl w:val="81C2583E"/>
    <w:lvl w:ilvl="0" w:tplc="0D6C67E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3352AF1"/>
    <w:multiLevelType w:val="multilevel"/>
    <w:tmpl w:val="48A6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365F"/>
    <w:multiLevelType w:val="hybridMultilevel"/>
    <w:tmpl w:val="576421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A9E02CE"/>
    <w:multiLevelType w:val="hybridMultilevel"/>
    <w:tmpl w:val="9B64CF54"/>
    <w:lvl w:ilvl="0" w:tplc="F98E4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D626FD4"/>
    <w:multiLevelType w:val="hybridMultilevel"/>
    <w:tmpl w:val="152E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4F3BBD"/>
    <w:multiLevelType w:val="hybridMultilevel"/>
    <w:tmpl w:val="8E748A30"/>
    <w:lvl w:ilvl="0" w:tplc="CF7C4C0A">
      <w:start w:val="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D55A6B"/>
    <w:multiLevelType w:val="hybridMultilevel"/>
    <w:tmpl w:val="FDE49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1D40AD"/>
    <w:multiLevelType w:val="hybridMultilevel"/>
    <w:tmpl w:val="EFF2C3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631FA"/>
    <w:multiLevelType w:val="hybridMultilevel"/>
    <w:tmpl w:val="D68EB3A2"/>
    <w:lvl w:ilvl="0" w:tplc="EE5621E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8AF1295"/>
    <w:multiLevelType w:val="hybridMultilevel"/>
    <w:tmpl w:val="0CF8FBF8"/>
    <w:lvl w:ilvl="0" w:tplc="0409000F">
      <w:start w:val="1"/>
      <w:numFmt w:val="decimal"/>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7" w15:restartNumberingAfterBreak="0">
    <w:nsid w:val="79B149B5"/>
    <w:multiLevelType w:val="hybridMultilevel"/>
    <w:tmpl w:val="C32C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587E24"/>
    <w:multiLevelType w:val="hybridMultilevel"/>
    <w:tmpl w:val="84C4FC1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9" w15:restartNumberingAfterBreak="0">
    <w:nsid w:val="7E485FA6"/>
    <w:multiLevelType w:val="hybridMultilevel"/>
    <w:tmpl w:val="5AE6A7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A7ED0"/>
    <w:multiLevelType w:val="multilevel"/>
    <w:tmpl w:val="94B21AEE"/>
    <w:lvl w:ilvl="0">
      <w:start w:val="1"/>
      <w:numFmt w:val="decimal"/>
      <w:lvlText w:val="(%1)"/>
      <w:lvlJc w:val="left"/>
      <w:pPr>
        <w:ind w:left="2659" w:hanging="390"/>
      </w:pPr>
      <w:rPr>
        <w:rFonts w:ascii="Times New Roman" w:eastAsia="Times New Roman" w:hAnsi="Times New Roman" w:cs="Times New Roman"/>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num w:numId="1" w16cid:durableId="1305623257">
    <w:abstractNumId w:val="0"/>
  </w:num>
  <w:num w:numId="2" w16cid:durableId="1396584279">
    <w:abstractNumId w:val="18"/>
  </w:num>
  <w:num w:numId="3" w16cid:durableId="1288393998">
    <w:abstractNumId w:val="15"/>
  </w:num>
  <w:num w:numId="4" w16cid:durableId="2020765306">
    <w:abstractNumId w:val="1"/>
  </w:num>
  <w:num w:numId="5" w16cid:durableId="613250344">
    <w:abstractNumId w:val="8"/>
  </w:num>
  <w:num w:numId="6" w16cid:durableId="1940723039">
    <w:abstractNumId w:val="17"/>
  </w:num>
  <w:num w:numId="7" w16cid:durableId="518012472">
    <w:abstractNumId w:val="7"/>
  </w:num>
  <w:num w:numId="8" w16cid:durableId="97200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4172346">
    <w:abstractNumId w:val="16"/>
  </w:num>
  <w:num w:numId="10" w16cid:durableId="516313422">
    <w:abstractNumId w:val="14"/>
  </w:num>
  <w:num w:numId="11" w16cid:durableId="1255361600">
    <w:abstractNumId w:val="9"/>
  </w:num>
  <w:num w:numId="12" w16cid:durableId="22290387">
    <w:abstractNumId w:val="6"/>
  </w:num>
  <w:num w:numId="13" w16cid:durableId="525870975">
    <w:abstractNumId w:val="4"/>
  </w:num>
  <w:num w:numId="14" w16cid:durableId="2024551974">
    <w:abstractNumId w:val="10"/>
  </w:num>
  <w:num w:numId="15" w16cid:durableId="590746347">
    <w:abstractNumId w:val="3"/>
  </w:num>
  <w:num w:numId="16" w16cid:durableId="240524590">
    <w:abstractNumId w:val="2"/>
  </w:num>
  <w:num w:numId="17" w16cid:durableId="980694996">
    <w:abstractNumId w:val="5"/>
  </w:num>
  <w:num w:numId="18" w16cid:durableId="1785540741">
    <w:abstractNumId w:val="12"/>
  </w:num>
  <w:num w:numId="19" w16cid:durableId="2061467001">
    <w:abstractNumId w:val="13"/>
  </w:num>
  <w:num w:numId="20" w16cid:durableId="1618828088">
    <w:abstractNumId w:val="19"/>
  </w:num>
  <w:num w:numId="21" w16cid:durableId="266425708">
    <w:abstractNumId w:val="11"/>
  </w:num>
  <w:num w:numId="22" w16cid:durableId="1991733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EA6"/>
    <w:rsid w:val="000019B6"/>
    <w:rsid w:val="00002E4A"/>
    <w:rsid w:val="000040A1"/>
    <w:rsid w:val="000042B4"/>
    <w:rsid w:val="00006F20"/>
    <w:rsid w:val="0000707B"/>
    <w:rsid w:val="00010978"/>
    <w:rsid w:val="00010CA2"/>
    <w:rsid w:val="0001318A"/>
    <w:rsid w:val="00013621"/>
    <w:rsid w:val="00014404"/>
    <w:rsid w:val="0001442E"/>
    <w:rsid w:val="000155D5"/>
    <w:rsid w:val="000160F3"/>
    <w:rsid w:val="00017D04"/>
    <w:rsid w:val="0002299E"/>
    <w:rsid w:val="00024F37"/>
    <w:rsid w:val="00024F7F"/>
    <w:rsid w:val="00025015"/>
    <w:rsid w:val="000260DD"/>
    <w:rsid w:val="000265F7"/>
    <w:rsid w:val="00026689"/>
    <w:rsid w:val="00026B13"/>
    <w:rsid w:val="00027469"/>
    <w:rsid w:val="00031AFF"/>
    <w:rsid w:val="00031D8D"/>
    <w:rsid w:val="0003205B"/>
    <w:rsid w:val="00035D17"/>
    <w:rsid w:val="0003690A"/>
    <w:rsid w:val="000369EF"/>
    <w:rsid w:val="00040B7B"/>
    <w:rsid w:val="00043471"/>
    <w:rsid w:val="00043911"/>
    <w:rsid w:val="00044209"/>
    <w:rsid w:val="0004452D"/>
    <w:rsid w:val="00046413"/>
    <w:rsid w:val="00046B44"/>
    <w:rsid w:val="000503A8"/>
    <w:rsid w:val="00054869"/>
    <w:rsid w:val="00054DF8"/>
    <w:rsid w:val="000563C0"/>
    <w:rsid w:val="00057629"/>
    <w:rsid w:val="00057EC8"/>
    <w:rsid w:val="00060E2F"/>
    <w:rsid w:val="00061E6F"/>
    <w:rsid w:val="0006216F"/>
    <w:rsid w:val="00062BA0"/>
    <w:rsid w:val="0006409E"/>
    <w:rsid w:val="00064A6B"/>
    <w:rsid w:val="00064E28"/>
    <w:rsid w:val="00066157"/>
    <w:rsid w:val="00070830"/>
    <w:rsid w:val="00073195"/>
    <w:rsid w:val="000733D3"/>
    <w:rsid w:val="0007395E"/>
    <w:rsid w:val="0007609F"/>
    <w:rsid w:val="00076C55"/>
    <w:rsid w:val="000808EE"/>
    <w:rsid w:val="00081475"/>
    <w:rsid w:val="00083DB6"/>
    <w:rsid w:val="00083EAF"/>
    <w:rsid w:val="00084EE5"/>
    <w:rsid w:val="00084F56"/>
    <w:rsid w:val="00085904"/>
    <w:rsid w:val="00086114"/>
    <w:rsid w:val="00087383"/>
    <w:rsid w:val="00087C48"/>
    <w:rsid w:val="00087EC7"/>
    <w:rsid w:val="00090676"/>
    <w:rsid w:val="0009222E"/>
    <w:rsid w:val="00092376"/>
    <w:rsid w:val="0009320D"/>
    <w:rsid w:val="0009373A"/>
    <w:rsid w:val="00094481"/>
    <w:rsid w:val="000949D2"/>
    <w:rsid w:val="00094AE3"/>
    <w:rsid w:val="00095300"/>
    <w:rsid w:val="00096014"/>
    <w:rsid w:val="0009621B"/>
    <w:rsid w:val="00096CE9"/>
    <w:rsid w:val="000A06E8"/>
    <w:rsid w:val="000A114D"/>
    <w:rsid w:val="000A437E"/>
    <w:rsid w:val="000A6298"/>
    <w:rsid w:val="000A71F1"/>
    <w:rsid w:val="000B036B"/>
    <w:rsid w:val="000B1818"/>
    <w:rsid w:val="000B391A"/>
    <w:rsid w:val="000B3D76"/>
    <w:rsid w:val="000B4945"/>
    <w:rsid w:val="000B55D8"/>
    <w:rsid w:val="000B650E"/>
    <w:rsid w:val="000B665D"/>
    <w:rsid w:val="000B7506"/>
    <w:rsid w:val="000B753E"/>
    <w:rsid w:val="000C1C6D"/>
    <w:rsid w:val="000C25F4"/>
    <w:rsid w:val="000C3277"/>
    <w:rsid w:val="000C3586"/>
    <w:rsid w:val="000C3625"/>
    <w:rsid w:val="000C4A4F"/>
    <w:rsid w:val="000C54A4"/>
    <w:rsid w:val="000C614B"/>
    <w:rsid w:val="000C7D63"/>
    <w:rsid w:val="000C7EAF"/>
    <w:rsid w:val="000C7EEC"/>
    <w:rsid w:val="000D0889"/>
    <w:rsid w:val="000D142B"/>
    <w:rsid w:val="000D23B9"/>
    <w:rsid w:val="000D2B20"/>
    <w:rsid w:val="000D315E"/>
    <w:rsid w:val="000D403B"/>
    <w:rsid w:val="000D4132"/>
    <w:rsid w:val="000D4C09"/>
    <w:rsid w:val="000E0EA4"/>
    <w:rsid w:val="000E2C2D"/>
    <w:rsid w:val="000E3A58"/>
    <w:rsid w:val="000E4553"/>
    <w:rsid w:val="000E4B24"/>
    <w:rsid w:val="000E53DE"/>
    <w:rsid w:val="000E63D5"/>
    <w:rsid w:val="000E6FCF"/>
    <w:rsid w:val="000E74F5"/>
    <w:rsid w:val="000F11C3"/>
    <w:rsid w:val="000F26C2"/>
    <w:rsid w:val="000F40EF"/>
    <w:rsid w:val="000F6105"/>
    <w:rsid w:val="000F7896"/>
    <w:rsid w:val="00100251"/>
    <w:rsid w:val="00101A9B"/>
    <w:rsid w:val="001023B0"/>
    <w:rsid w:val="0010482B"/>
    <w:rsid w:val="00105808"/>
    <w:rsid w:val="001067AA"/>
    <w:rsid w:val="00106FB3"/>
    <w:rsid w:val="00106FE8"/>
    <w:rsid w:val="00107736"/>
    <w:rsid w:val="00107740"/>
    <w:rsid w:val="001077E3"/>
    <w:rsid w:val="00107E28"/>
    <w:rsid w:val="001110C2"/>
    <w:rsid w:val="00112E9E"/>
    <w:rsid w:val="001147BA"/>
    <w:rsid w:val="0011501B"/>
    <w:rsid w:val="00115083"/>
    <w:rsid w:val="00115131"/>
    <w:rsid w:val="00121730"/>
    <w:rsid w:val="00121CCC"/>
    <w:rsid w:val="001250F7"/>
    <w:rsid w:val="00125245"/>
    <w:rsid w:val="00126BBF"/>
    <w:rsid w:val="00130ADF"/>
    <w:rsid w:val="00131281"/>
    <w:rsid w:val="001313D8"/>
    <w:rsid w:val="0013230E"/>
    <w:rsid w:val="00133A3B"/>
    <w:rsid w:val="0013619D"/>
    <w:rsid w:val="0013676D"/>
    <w:rsid w:val="00137A13"/>
    <w:rsid w:val="001459BC"/>
    <w:rsid w:val="0014608E"/>
    <w:rsid w:val="0014728C"/>
    <w:rsid w:val="00147912"/>
    <w:rsid w:val="001500EA"/>
    <w:rsid w:val="00150A11"/>
    <w:rsid w:val="00152085"/>
    <w:rsid w:val="001528E8"/>
    <w:rsid w:val="00153B2A"/>
    <w:rsid w:val="0015446A"/>
    <w:rsid w:val="001544DC"/>
    <w:rsid w:val="001570BD"/>
    <w:rsid w:val="0015762E"/>
    <w:rsid w:val="00157B5B"/>
    <w:rsid w:val="00160148"/>
    <w:rsid w:val="00161A61"/>
    <w:rsid w:val="00164759"/>
    <w:rsid w:val="00164F79"/>
    <w:rsid w:val="00164FF3"/>
    <w:rsid w:val="00165A07"/>
    <w:rsid w:val="00165C92"/>
    <w:rsid w:val="00165D35"/>
    <w:rsid w:val="0016702F"/>
    <w:rsid w:val="0016785A"/>
    <w:rsid w:val="00167EF9"/>
    <w:rsid w:val="0017030A"/>
    <w:rsid w:val="00170D4E"/>
    <w:rsid w:val="00172493"/>
    <w:rsid w:val="00173986"/>
    <w:rsid w:val="0017630C"/>
    <w:rsid w:val="001776C1"/>
    <w:rsid w:val="00177CD3"/>
    <w:rsid w:val="00177EC3"/>
    <w:rsid w:val="00180B7B"/>
    <w:rsid w:val="00181323"/>
    <w:rsid w:val="0018173D"/>
    <w:rsid w:val="00181DB6"/>
    <w:rsid w:val="0019189C"/>
    <w:rsid w:val="001919CC"/>
    <w:rsid w:val="0019387C"/>
    <w:rsid w:val="001945C9"/>
    <w:rsid w:val="001957B4"/>
    <w:rsid w:val="001A0854"/>
    <w:rsid w:val="001A0AEA"/>
    <w:rsid w:val="001A1AA3"/>
    <w:rsid w:val="001A1AE5"/>
    <w:rsid w:val="001A1D31"/>
    <w:rsid w:val="001A2A6E"/>
    <w:rsid w:val="001A374F"/>
    <w:rsid w:val="001A4420"/>
    <w:rsid w:val="001A78A0"/>
    <w:rsid w:val="001A7C31"/>
    <w:rsid w:val="001B1912"/>
    <w:rsid w:val="001B1AD6"/>
    <w:rsid w:val="001B22D1"/>
    <w:rsid w:val="001B23D0"/>
    <w:rsid w:val="001B2B36"/>
    <w:rsid w:val="001B3B27"/>
    <w:rsid w:val="001B4FE1"/>
    <w:rsid w:val="001B6DD8"/>
    <w:rsid w:val="001B7961"/>
    <w:rsid w:val="001C2EA5"/>
    <w:rsid w:val="001C33B5"/>
    <w:rsid w:val="001C3EF4"/>
    <w:rsid w:val="001C4735"/>
    <w:rsid w:val="001C4BA6"/>
    <w:rsid w:val="001C55B8"/>
    <w:rsid w:val="001C5815"/>
    <w:rsid w:val="001C6BF4"/>
    <w:rsid w:val="001C6F95"/>
    <w:rsid w:val="001C7510"/>
    <w:rsid w:val="001C7F48"/>
    <w:rsid w:val="001D0467"/>
    <w:rsid w:val="001D7448"/>
    <w:rsid w:val="001E058E"/>
    <w:rsid w:val="001E0BD4"/>
    <w:rsid w:val="001E0D0D"/>
    <w:rsid w:val="001E10D6"/>
    <w:rsid w:val="001E11B1"/>
    <w:rsid w:val="001E2092"/>
    <w:rsid w:val="001E236E"/>
    <w:rsid w:val="001E5470"/>
    <w:rsid w:val="001E55B3"/>
    <w:rsid w:val="001E69E4"/>
    <w:rsid w:val="001E6A4B"/>
    <w:rsid w:val="001E708B"/>
    <w:rsid w:val="001E7255"/>
    <w:rsid w:val="001F14A2"/>
    <w:rsid w:val="001F1E7E"/>
    <w:rsid w:val="001F418F"/>
    <w:rsid w:val="001F6D5C"/>
    <w:rsid w:val="001F700D"/>
    <w:rsid w:val="001F7034"/>
    <w:rsid w:val="001F733F"/>
    <w:rsid w:val="00200720"/>
    <w:rsid w:val="002032D0"/>
    <w:rsid w:val="00207492"/>
    <w:rsid w:val="00210A61"/>
    <w:rsid w:val="00210E9C"/>
    <w:rsid w:val="00211627"/>
    <w:rsid w:val="002116FE"/>
    <w:rsid w:val="00213877"/>
    <w:rsid w:val="00213BDB"/>
    <w:rsid w:val="00213C63"/>
    <w:rsid w:val="002153E2"/>
    <w:rsid w:val="00217238"/>
    <w:rsid w:val="00217BF3"/>
    <w:rsid w:val="00220BDB"/>
    <w:rsid w:val="00221987"/>
    <w:rsid w:val="00221B2B"/>
    <w:rsid w:val="00223491"/>
    <w:rsid w:val="002236FE"/>
    <w:rsid w:val="00223AFB"/>
    <w:rsid w:val="00225653"/>
    <w:rsid w:val="00227A62"/>
    <w:rsid w:val="0023001E"/>
    <w:rsid w:val="0023022A"/>
    <w:rsid w:val="00230EAE"/>
    <w:rsid w:val="00231324"/>
    <w:rsid w:val="00231F26"/>
    <w:rsid w:val="00232ED4"/>
    <w:rsid w:val="0023360D"/>
    <w:rsid w:val="002337CA"/>
    <w:rsid w:val="00233A87"/>
    <w:rsid w:val="00233D49"/>
    <w:rsid w:val="0023404B"/>
    <w:rsid w:val="002348DD"/>
    <w:rsid w:val="00234AB0"/>
    <w:rsid w:val="00234B65"/>
    <w:rsid w:val="002354D3"/>
    <w:rsid w:val="002404DC"/>
    <w:rsid w:val="002404F7"/>
    <w:rsid w:val="002405FF"/>
    <w:rsid w:val="00244CF8"/>
    <w:rsid w:val="002451F8"/>
    <w:rsid w:val="00250C5C"/>
    <w:rsid w:val="00251605"/>
    <w:rsid w:val="00253448"/>
    <w:rsid w:val="00254677"/>
    <w:rsid w:val="00255292"/>
    <w:rsid w:val="00256383"/>
    <w:rsid w:val="0025682E"/>
    <w:rsid w:val="00260E13"/>
    <w:rsid w:val="00261293"/>
    <w:rsid w:val="00261488"/>
    <w:rsid w:val="002623AD"/>
    <w:rsid w:val="00262462"/>
    <w:rsid w:val="0026264B"/>
    <w:rsid w:val="00262AAC"/>
    <w:rsid w:val="00262CFA"/>
    <w:rsid w:val="002650F1"/>
    <w:rsid w:val="00267571"/>
    <w:rsid w:val="00271D4C"/>
    <w:rsid w:val="00272D53"/>
    <w:rsid w:val="0027308F"/>
    <w:rsid w:val="00275947"/>
    <w:rsid w:val="00275D3D"/>
    <w:rsid w:val="00276B03"/>
    <w:rsid w:val="0027748F"/>
    <w:rsid w:val="0027750A"/>
    <w:rsid w:val="00280BAF"/>
    <w:rsid w:val="002828BC"/>
    <w:rsid w:val="00282E65"/>
    <w:rsid w:val="00283DDB"/>
    <w:rsid w:val="00285785"/>
    <w:rsid w:val="00286173"/>
    <w:rsid w:val="00286541"/>
    <w:rsid w:val="002869DC"/>
    <w:rsid w:val="00286DEC"/>
    <w:rsid w:val="002870BF"/>
    <w:rsid w:val="00294152"/>
    <w:rsid w:val="0029430E"/>
    <w:rsid w:val="00294531"/>
    <w:rsid w:val="00294D46"/>
    <w:rsid w:val="002A25EA"/>
    <w:rsid w:val="002A409A"/>
    <w:rsid w:val="002A41C3"/>
    <w:rsid w:val="002A4A4D"/>
    <w:rsid w:val="002A7775"/>
    <w:rsid w:val="002A7B24"/>
    <w:rsid w:val="002B2155"/>
    <w:rsid w:val="002B28B0"/>
    <w:rsid w:val="002B583C"/>
    <w:rsid w:val="002B689E"/>
    <w:rsid w:val="002B7888"/>
    <w:rsid w:val="002C0995"/>
    <w:rsid w:val="002C122C"/>
    <w:rsid w:val="002C129E"/>
    <w:rsid w:val="002C1C7F"/>
    <w:rsid w:val="002C3361"/>
    <w:rsid w:val="002C37C4"/>
    <w:rsid w:val="002C4610"/>
    <w:rsid w:val="002C5396"/>
    <w:rsid w:val="002C6EEE"/>
    <w:rsid w:val="002D2048"/>
    <w:rsid w:val="002D214D"/>
    <w:rsid w:val="002D3A08"/>
    <w:rsid w:val="002D3CFD"/>
    <w:rsid w:val="002D4D0D"/>
    <w:rsid w:val="002D519D"/>
    <w:rsid w:val="002D58BB"/>
    <w:rsid w:val="002D63DE"/>
    <w:rsid w:val="002E20A6"/>
    <w:rsid w:val="002E22BC"/>
    <w:rsid w:val="002E3AFC"/>
    <w:rsid w:val="002E3BEE"/>
    <w:rsid w:val="002E51DD"/>
    <w:rsid w:val="002E5329"/>
    <w:rsid w:val="002E5723"/>
    <w:rsid w:val="002E5889"/>
    <w:rsid w:val="002E6018"/>
    <w:rsid w:val="002E6BA8"/>
    <w:rsid w:val="002E7997"/>
    <w:rsid w:val="002E7E37"/>
    <w:rsid w:val="002F01BF"/>
    <w:rsid w:val="002F0CE9"/>
    <w:rsid w:val="002F1A5E"/>
    <w:rsid w:val="002F2645"/>
    <w:rsid w:val="002F265C"/>
    <w:rsid w:val="002F36E2"/>
    <w:rsid w:val="002F4425"/>
    <w:rsid w:val="002F7FB9"/>
    <w:rsid w:val="00300E1C"/>
    <w:rsid w:val="00302ADB"/>
    <w:rsid w:val="00302D6F"/>
    <w:rsid w:val="00302EF5"/>
    <w:rsid w:val="003034B1"/>
    <w:rsid w:val="00304361"/>
    <w:rsid w:val="00305061"/>
    <w:rsid w:val="0030581C"/>
    <w:rsid w:val="00305E5F"/>
    <w:rsid w:val="00306119"/>
    <w:rsid w:val="00306707"/>
    <w:rsid w:val="00307CD4"/>
    <w:rsid w:val="00310F95"/>
    <w:rsid w:val="0031102C"/>
    <w:rsid w:val="003110AD"/>
    <w:rsid w:val="00312439"/>
    <w:rsid w:val="003127E6"/>
    <w:rsid w:val="00312E6E"/>
    <w:rsid w:val="00312FF3"/>
    <w:rsid w:val="003138A1"/>
    <w:rsid w:val="00315CB8"/>
    <w:rsid w:val="0031643B"/>
    <w:rsid w:val="003179ED"/>
    <w:rsid w:val="00320940"/>
    <w:rsid w:val="00322480"/>
    <w:rsid w:val="00324260"/>
    <w:rsid w:val="00324785"/>
    <w:rsid w:val="00324938"/>
    <w:rsid w:val="00324975"/>
    <w:rsid w:val="00325BC3"/>
    <w:rsid w:val="003278FD"/>
    <w:rsid w:val="00330048"/>
    <w:rsid w:val="00332715"/>
    <w:rsid w:val="00332FEB"/>
    <w:rsid w:val="00333AB9"/>
    <w:rsid w:val="003342A4"/>
    <w:rsid w:val="003357CA"/>
    <w:rsid w:val="00335C69"/>
    <w:rsid w:val="003456BD"/>
    <w:rsid w:val="00345C6D"/>
    <w:rsid w:val="0034765C"/>
    <w:rsid w:val="00347FF8"/>
    <w:rsid w:val="00353F32"/>
    <w:rsid w:val="003543EA"/>
    <w:rsid w:val="003545B2"/>
    <w:rsid w:val="003547E5"/>
    <w:rsid w:val="0035521E"/>
    <w:rsid w:val="00355320"/>
    <w:rsid w:val="00355C12"/>
    <w:rsid w:val="00356457"/>
    <w:rsid w:val="00356690"/>
    <w:rsid w:val="003569BD"/>
    <w:rsid w:val="00357FC9"/>
    <w:rsid w:val="003605E7"/>
    <w:rsid w:val="0036135D"/>
    <w:rsid w:val="00365A86"/>
    <w:rsid w:val="00365DE7"/>
    <w:rsid w:val="003668CF"/>
    <w:rsid w:val="0037254B"/>
    <w:rsid w:val="0037486B"/>
    <w:rsid w:val="0037559F"/>
    <w:rsid w:val="00375B28"/>
    <w:rsid w:val="0037675E"/>
    <w:rsid w:val="00377E94"/>
    <w:rsid w:val="00381090"/>
    <w:rsid w:val="00381CD7"/>
    <w:rsid w:val="00385BC3"/>
    <w:rsid w:val="003864F6"/>
    <w:rsid w:val="003865A1"/>
    <w:rsid w:val="00386812"/>
    <w:rsid w:val="00390E31"/>
    <w:rsid w:val="00391737"/>
    <w:rsid w:val="00391885"/>
    <w:rsid w:val="003923E4"/>
    <w:rsid w:val="0039344D"/>
    <w:rsid w:val="00393638"/>
    <w:rsid w:val="00396A04"/>
    <w:rsid w:val="00397570"/>
    <w:rsid w:val="003A15E1"/>
    <w:rsid w:val="003A3349"/>
    <w:rsid w:val="003A367D"/>
    <w:rsid w:val="003A50F0"/>
    <w:rsid w:val="003A53BB"/>
    <w:rsid w:val="003A603C"/>
    <w:rsid w:val="003A6698"/>
    <w:rsid w:val="003A7570"/>
    <w:rsid w:val="003A7CA2"/>
    <w:rsid w:val="003A7CC0"/>
    <w:rsid w:val="003B02B3"/>
    <w:rsid w:val="003B0C77"/>
    <w:rsid w:val="003B2329"/>
    <w:rsid w:val="003B3A2C"/>
    <w:rsid w:val="003B3F0B"/>
    <w:rsid w:val="003B424D"/>
    <w:rsid w:val="003B68CD"/>
    <w:rsid w:val="003B6E10"/>
    <w:rsid w:val="003C1204"/>
    <w:rsid w:val="003C1670"/>
    <w:rsid w:val="003C19BF"/>
    <w:rsid w:val="003C4D24"/>
    <w:rsid w:val="003C56CF"/>
    <w:rsid w:val="003C6023"/>
    <w:rsid w:val="003C6B82"/>
    <w:rsid w:val="003C6D3A"/>
    <w:rsid w:val="003C6F56"/>
    <w:rsid w:val="003D092D"/>
    <w:rsid w:val="003D4A34"/>
    <w:rsid w:val="003D6235"/>
    <w:rsid w:val="003D6525"/>
    <w:rsid w:val="003E080A"/>
    <w:rsid w:val="003E0917"/>
    <w:rsid w:val="003E0EF0"/>
    <w:rsid w:val="003E358F"/>
    <w:rsid w:val="003E5C40"/>
    <w:rsid w:val="003E5FF2"/>
    <w:rsid w:val="003F046A"/>
    <w:rsid w:val="003F10F8"/>
    <w:rsid w:val="003F4EA4"/>
    <w:rsid w:val="003F5CF6"/>
    <w:rsid w:val="003F6ACA"/>
    <w:rsid w:val="003F7AF4"/>
    <w:rsid w:val="0040003B"/>
    <w:rsid w:val="004005AC"/>
    <w:rsid w:val="004007BE"/>
    <w:rsid w:val="00402A15"/>
    <w:rsid w:val="0040434F"/>
    <w:rsid w:val="00405F21"/>
    <w:rsid w:val="00406B07"/>
    <w:rsid w:val="00406FBE"/>
    <w:rsid w:val="0041039C"/>
    <w:rsid w:val="004162F1"/>
    <w:rsid w:val="0042197D"/>
    <w:rsid w:val="004248D9"/>
    <w:rsid w:val="00425D30"/>
    <w:rsid w:val="00426482"/>
    <w:rsid w:val="004268A6"/>
    <w:rsid w:val="004268D7"/>
    <w:rsid w:val="00427CE2"/>
    <w:rsid w:val="00434D7D"/>
    <w:rsid w:val="004353EE"/>
    <w:rsid w:val="00435BC5"/>
    <w:rsid w:val="00435F83"/>
    <w:rsid w:val="004362A6"/>
    <w:rsid w:val="00440136"/>
    <w:rsid w:val="0044348E"/>
    <w:rsid w:val="004449A8"/>
    <w:rsid w:val="00445A50"/>
    <w:rsid w:val="00446A81"/>
    <w:rsid w:val="00446B21"/>
    <w:rsid w:val="00446C51"/>
    <w:rsid w:val="004472F0"/>
    <w:rsid w:val="004516D9"/>
    <w:rsid w:val="00454D72"/>
    <w:rsid w:val="004555DD"/>
    <w:rsid w:val="00455719"/>
    <w:rsid w:val="004561E9"/>
    <w:rsid w:val="004562CD"/>
    <w:rsid w:val="0045656F"/>
    <w:rsid w:val="00456611"/>
    <w:rsid w:val="0046098C"/>
    <w:rsid w:val="00460CE3"/>
    <w:rsid w:val="00461DC3"/>
    <w:rsid w:val="0046279C"/>
    <w:rsid w:val="00462C37"/>
    <w:rsid w:val="00462FDE"/>
    <w:rsid w:val="0046337F"/>
    <w:rsid w:val="00463434"/>
    <w:rsid w:val="0046380B"/>
    <w:rsid w:val="00463E98"/>
    <w:rsid w:val="00464AED"/>
    <w:rsid w:val="0046568A"/>
    <w:rsid w:val="00473382"/>
    <w:rsid w:val="00473DA2"/>
    <w:rsid w:val="00475C30"/>
    <w:rsid w:val="0047738F"/>
    <w:rsid w:val="00477DA1"/>
    <w:rsid w:val="004803F0"/>
    <w:rsid w:val="004806BE"/>
    <w:rsid w:val="00481A82"/>
    <w:rsid w:val="00486DF5"/>
    <w:rsid w:val="00490E44"/>
    <w:rsid w:val="00491645"/>
    <w:rsid w:val="004918A4"/>
    <w:rsid w:val="00492D8F"/>
    <w:rsid w:val="00493464"/>
    <w:rsid w:val="004939DF"/>
    <w:rsid w:val="0049459B"/>
    <w:rsid w:val="0049586B"/>
    <w:rsid w:val="00495918"/>
    <w:rsid w:val="00495B40"/>
    <w:rsid w:val="004A2289"/>
    <w:rsid w:val="004A26E1"/>
    <w:rsid w:val="004A39EE"/>
    <w:rsid w:val="004A51ED"/>
    <w:rsid w:val="004A6FCC"/>
    <w:rsid w:val="004B13DF"/>
    <w:rsid w:val="004B1759"/>
    <w:rsid w:val="004B1ABD"/>
    <w:rsid w:val="004B23FC"/>
    <w:rsid w:val="004B254E"/>
    <w:rsid w:val="004B3C0A"/>
    <w:rsid w:val="004B3F38"/>
    <w:rsid w:val="004B64A6"/>
    <w:rsid w:val="004B7202"/>
    <w:rsid w:val="004B7CAD"/>
    <w:rsid w:val="004C0503"/>
    <w:rsid w:val="004C07F9"/>
    <w:rsid w:val="004C103A"/>
    <w:rsid w:val="004C1092"/>
    <w:rsid w:val="004C1338"/>
    <w:rsid w:val="004C7417"/>
    <w:rsid w:val="004C7534"/>
    <w:rsid w:val="004D1B68"/>
    <w:rsid w:val="004D1FC0"/>
    <w:rsid w:val="004D210B"/>
    <w:rsid w:val="004D24D3"/>
    <w:rsid w:val="004D279E"/>
    <w:rsid w:val="004D27EE"/>
    <w:rsid w:val="004D44B3"/>
    <w:rsid w:val="004D522F"/>
    <w:rsid w:val="004D5BA3"/>
    <w:rsid w:val="004D6ABC"/>
    <w:rsid w:val="004E1034"/>
    <w:rsid w:val="004E13AF"/>
    <w:rsid w:val="004E2CA0"/>
    <w:rsid w:val="004E40FD"/>
    <w:rsid w:val="004E789F"/>
    <w:rsid w:val="004E7DEF"/>
    <w:rsid w:val="004F0E4B"/>
    <w:rsid w:val="004F1FFD"/>
    <w:rsid w:val="004F3F3E"/>
    <w:rsid w:val="004F49AA"/>
    <w:rsid w:val="004F4FE5"/>
    <w:rsid w:val="004F521A"/>
    <w:rsid w:val="004F551E"/>
    <w:rsid w:val="005005B8"/>
    <w:rsid w:val="0050109F"/>
    <w:rsid w:val="00503AA3"/>
    <w:rsid w:val="00503CAF"/>
    <w:rsid w:val="00505AF3"/>
    <w:rsid w:val="005066F6"/>
    <w:rsid w:val="00507FB6"/>
    <w:rsid w:val="00513890"/>
    <w:rsid w:val="00513E6A"/>
    <w:rsid w:val="00515920"/>
    <w:rsid w:val="00515AD8"/>
    <w:rsid w:val="00515DE0"/>
    <w:rsid w:val="00520345"/>
    <w:rsid w:val="00520BE3"/>
    <w:rsid w:val="00522A8B"/>
    <w:rsid w:val="00522BF6"/>
    <w:rsid w:val="0052442F"/>
    <w:rsid w:val="005244F8"/>
    <w:rsid w:val="00524BB2"/>
    <w:rsid w:val="005262E5"/>
    <w:rsid w:val="00527866"/>
    <w:rsid w:val="00530AC8"/>
    <w:rsid w:val="0053145E"/>
    <w:rsid w:val="0053190B"/>
    <w:rsid w:val="005338D3"/>
    <w:rsid w:val="00533DD2"/>
    <w:rsid w:val="00533E19"/>
    <w:rsid w:val="0053559E"/>
    <w:rsid w:val="0053566B"/>
    <w:rsid w:val="00540381"/>
    <w:rsid w:val="00542085"/>
    <w:rsid w:val="00542411"/>
    <w:rsid w:val="00543A0A"/>
    <w:rsid w:val="005444AB"/>
    <w:rsid w:val="00546B5F"/>
    <w:rsid w:val="005514F5"/>
    <w:rsid w:val="00552EB0"/>
    <w:rsid w:val="00554716"/>
    <w:rsid w:val="00555D3D"/>
    <w:rsid w:val="00561803"/>
    <w:rsid w:val="00562652"/>
    <w:rsid w:val="0056358F"/>
    <w:rsid w:val="005649C0"/>
    <w:rsid w:val="00565752"/>
    <w:rsid w:val="00566969"/>
    <w:rsid w:val="00566EBF"/>
    <w:rsid w:val="00571569"/>
    <w:rsid w:val="00575BCE"/>
    <w:rsid w:val="0057730A"/>
    <w:rsid w:val="00577623"/>
    <w:rsid w:val="0058155C"/>
    <w:rsid w:val="00582047"/>
    <w:rsid w:val="00583D6C"/>
    <w:rsid w:val="00584568"/>
    <w:rsid w:val="00584BC8"/>
    <w:rsid w:val="005863A4"/>
    <w:rsid w:val="00586890"/>
    <w:rsid w:val="00590335"/>
    <w:rsid w:val="00591294"/>
    <w:rsid w:val="00591469"/>
    <w:rsid w:val="0059520E"/>
    <w:rsid w:val="00595C2D"/>
    <w:rsid w:val="005966F6"/>
    <w:rsid w:val="0059789A"/>
    <w:rsid w:val="00597910"/>
    <w:rsid w:val="005A133E"/>
    <w:rsid w:val="005A13C5"/>
    <w:rsid w:val="005A1D6C"/>
    <w:rsid w:val="005A2F37"/>
    <w:rsid w:val="005A2FF2"/>
    <w:rsid w:val="005A47ED"/>
    <w:rsid w:val="005A506E"/>
    <w:rsid w:val="005A5A3E"/>
    <w:rsid w:val="005A5D29"/>
    <w:rsid w:val="005A7050"/>
    <w:rsid w:val="005A7989"/>
    <w:rsid w:val="005B02AB"/>
    <w:rsid w:val="005B17BE"/>
    <w:rsid w:val="005B18ED"/>
    <w:rsid w:val="005B1D4C"/>
    <w:rsid w:val="005B31F7"/>
    <w:rsid w:val="005B3992"/>
    <w:rsid w:val="005B58FF"/>
    <w:rsid w:val="005B66D9"/>
    <w:rsid w:val="005B68C3"/>
    <w:rsid w:val="005B716F"/>
    <w:rsid w:val="005C204E"/>
    <w:rsid w:val="005C22BB"/>
    <w:rsid w:val="005C22D6"/>
    <w:rsid w:val="005C2F53"/>
    <w:rsid w:val="005C5DD4"/>
    <w:rsid w:val="005D0029"/>
    <w:rsid w:val="005D05C7"/>
    <w:rsid w:val="005D111D"/>
    <w:rsid w:val="005D33F6"/>
    <w:rsid w:val="005D3847"/>
    <w:rsid w:val="005D4320"/>
    <w:rsid w:val="005D4B0F"/>
    <w:rsid w:val="005D4F6E"/>
    <w:rsid w:val="005D66B3"/>
    <w:rsid w:val="005D6B6E"/>
    <w:rsid w:val="005E1434"/>
    <w:rsid w:val="005E24DC"/>
    <w:rsid w:val="005E25BE"/>
    <w:rsid w:val="005E28B9"/>
    <w:rsid w:val="005E318B"/>
    <w:rsid w:val="005E34BD"/>
    <w:rsid w:val="005E494D"/>
    <w:rsid w:val="005E662E"/>
    <w:rsid w:val="005E6BD7"/>
    <w:rsid w:val="005E71B7"/>
    <w:rsid w:val="005F0EF5"/>
    <w:rsid w:val="005F1926"/>
    <w:rsid w:val="005F27A0"/>
    <w:rsid w:val="005F2815"/>
    <w:rsid w:val="005F3CF4"/>
    <w:rsid w:val="005F5D4D"/>
    <w:rsid w:val="005F6E40"/>
    <w:rsid w:val="00601913"/>
    <w:rsid w:val="0060421A"/>
    <w:rsid w:val="00610B7F"/>
    <w:rsid w:val="0061100D"/>
    <w:rsid w:val="00611340"/>
    <w:rsid w:val="00611644"/>
    <w:rsid w:val="006118A7"/>
    <w:rsid w:val="0061330D"/>
    <w:rsid w:val="00615AA1"/>
    <w:rsid w:val="00615FE9"/>
    <w:rsid w:val="006174FC"/>
    <w:rsid w:val="0062007D"/>
    <w:rsid w:val="006234A3"/>
    <w:rsid w:val="00623B34"/>
    <w:rsid w:val="0062446E"/>
    <w:rsid w:val="00624E3D"/>
    <w:rsid w:val="006259CC"/>
    <w:rsid w:val="0062634A"/>
    <w:rsid w:val="006308CD"/>
    <w:rsid w:val="006314DE"/>
    <w:rsid w:val="00634816"/>
    <w:rsid w:val="00634CAE"/>
    <w:rsid w:val="00634CC1"/>
    <w:rsid w:val="00635197"/>
    <w:rsid w:val="0063636E"/>
    <w:rsid w:val="006363AA"/>
    <w:rsid w:val="0063758C"/>
    <w:rsid w:val="00637985"/>
    <w:rsid w:val="00642FB2"/>
    <w:rsid w:val="00643DFD"/>
    <w:rsid w:val="0064474A"/>
    <w:rsid w:val="006449AD"/>
    <w:rsid w:val="00644A56"/>
    <w:rsid w:val="00644DAA"/>
    <w:rsid w:val="00645209"/>
    <w:rsid w:val="00646267"/>
    <w:rsid w:val="006467F1"/>
    <w:rsid w:val="00646A8A"/>
    <w:rsid w:val="00646E26"/>
    <w:rsid w:val="00647401"/>
    <w:rsid w:val="0064777F"/>
    <w:rsid w:val="00647931"/>
    <w:rsid w:val="00650169"/>
    <w:rsid w:val="00651A6D"/>
    <w:rsid w:val="00652918"/>
    <w:rsid w:val="00652E1B"/>
    <w:rsid w:val="00652E45"/>
    <w:rsid w:val="00653F32"/>
    <w:rsid w:val="00653F54"/>
    <w:rsid w:val="006556FA"/>
    <w:rsid w:val="00656BD4"/>
    <w:rsid w:val="00657250"/>
    <w:rsid w:val="00657DDE"/>
    <w:rsid w:val="006600DC"/>
    <w:rsid w:val="00660605"/>
    <w:rsid w:val="006622B7"/>
    <w:rsid w:val="00662E0D"/>
    <w:rsid w:val="0066383C"/>
    <w:rsid w:val="0066428B"/>
    <w:rsid w:val="0066474A"/>
    <w:rsid w:val="00664C4E"/>
    <w:rsid w:val="00665BFE"/>
    <w:rsid w:val="00666B97"/>
    <w:rsid w:val="00670C79"/>
    <w:rsid w:val="00670DA7"/>
    <w:rsid w:val="00671536"/>
    <w:rsid w:val="0067280E"/>
    <w:rsid w:val="0067373F"/>
    <w:rsid w:val="006737CE"/>
    <w:rsid w:val="00674168"/>
    <w:rsid w:val="00674D58"/>
    <w:rsid w:val="00674E7A"/>
    <w:rsid w:val="0067569B"/>
    <w:rsid w:val="00677B92"/>
    <w:rsid w:val="00680184"/>
    <w:rsid w:val="00680196"/>
    <w:rsid w:val="006801F0"/>
    <w:rsid w:val="006803EA"/>
    <w:rsid w:val="006813E4"/>
    <w:rsid w:val="0068185F"/>
    <w:rsid w:val="00683D39"/>
    <w:rsid w:val="00687A8C"/>
    <w:rsid w:val="00693450"/>
    <w:rsid w:val="00693C9A"/>
    <w:rsid w:val="00695912"/>
    <w:rsid w:val="0069618B"/>
    <w:rsid w:val="00696435"/>
    <w:rsid w:val="006964C3"/>
    <w:rsid w:val="00697C9C"/>
    <w:rsid w:val="006A42CB"/>
    <w:rsid w:val="006A53C9"/>
    <w:rsid w:val="006B0230"/>
    <w:rsid w:val="006B03A9"/>
    <w:rsid w:val="006B075E"/>
    <w:rsid w:val="006B0F3D"/>
    <w:rsid w:val="006B135C"/>
    <w:rsid w:val="006B5C25"/>
    <w:rsid w:val="006C18BA"/>
    <w:rsid w:val="006C1CA2"/>
    <w:rsid w:val="006C1EBB"/>
    <w:rsid w:val="006C234F"/>
    <w:rsid w:val="006C3986"/>
    <w:rsid w:val="006C4F78"/>
    <w:rsid w:val="006C54CF"/>
    <w:rsid w:val="006C63AE"/>
    <w:rsid w:val="006C63C2"/>
    <w:rsid w:val="006C711B"/>
    <w:rsid w:val="006D07D6"/>
    <w:rsid w:val="006D09F8"/>
    <w:rsid w:val="006D2138"/>
    <w:rsid w:val="006D37D0"/>
    <w:rsid w:val="006D46B5"/>
    <w:rsid w:val="006D52AD"/>
    <w:rsid w:val="006E1DDD"/>
    <w:rsid w:val="006E48B0"/>
    <w:rsid w:val="006E48E4"/>
    <w:rsid w:val="006E4FBF"/>
    <w:rsid w:val="006E6287"/>
    <w:rsid w:val="006E718D"/>
    <w:rsid w:val="006E7C08"/>
    <w:rsid w:val="006F1F12"/>
    <w:rsid w:val="006F28C3"/>
    <w:rsid w:val="006F2A8A"/>
    <w:rsid w:val="006F2F9D"/>
    <w:rsid w:val="006F350D"/>
    <w:rsid w:val="006F4543"/>
    <w:rsid w:val="006F57C0"/>
    <w:rsid w:val="006F66B1"/>
    <w:rsid w:val="006F72EC"/>
    <w:rsid w:val="006F7D98"/>
    <w:rsid w:val="007050B8"/>
    <w:rsid w:val="00705F15"/>
    <w:rsid w:val="007073D5"/>
    <w:rsid w:val="00707949"/>
    <w:rsid w:val="007118D7"/>
    <w:rsid w:val="00712405"/>
    <w:rsid w:val="00712F66"/>
    <w:rsid w:val="00713515"/>
    <w:rsid w:val="00720217"/>
    <w:rsid w:val="00721E13"/>
    <w:rsid w:val="00723783"/>
    <w:rsid w:val="00723AC4"/>
    <w:rsid w:val="00723BA7"/>
    <w:rsid w:val="00723E83"/>
    <w:rsid w:val="0072479B"/>
    <w:rsid w:val="00724EF9"/>
    <w:rsid w:val="0072598F"/>
    <w:rsid w:val="00725A79"/>
    <w:rsid w:val="007263F0"/>
    <w:rsid w:val="00726D70"/>
    <w:rsid w:val="00727AF1"/>
    <w:rsid w:val="00727B51"/>
    <w:rsid w:val="00727BB5"/>
    <w:rsid w:val="00727F76"/>
    <w:rsid w:val="00730AD6"/>
    <w:rsid w:val="007314E7"/>
    <w:rsid w:val="007349E2"/>
    <w:rsid w:val="00735154"/>
    <w:rsid w:val="007359E9"/>
    <w:rsid w:val="00736318"/>
    <w:rsid w:val="0073697C"/>
    <w:rsid w:val="00741AA7"/>
    <w:rsid w:val="00742BEF"/>
    <w:rsid w:val="0074315A"/>
    <w:rsid w:val="007431BB"/>
    <w:rsid w:val="007478F2"/>
    <w:rsid w:val="00750E41"/>
    <w:rsid w:val="00751E20"/>
    <w:rsid w:val="00752B06"/>
    <w:rsid w:val="0075540A"/>
    <w:rsid w:val="00755F0C"/>
    <w:rsid w:val="00757DD1"/>
    <w:rsid w:val="00757F29"/>
    <w:rsid w:val="00760029"/>
    <w:rsid w:val="007600AE"/>
    <w:rsid w:val="00760C9F"/>
    <w:rsid w:val="00761A7E"/>
    <w:rsid w:val="0076289B"/>
    <w:rsid w:val="00763CC1"/>
    <w:rsid w:val="007640CC"/>
    <w:rsid w:val="007642C7"/>
    <w:rsid w:val="00764804"/>
    <w:rsid w:val="007678A9"/>
    <w:rsid w:val="00770203"/>
    <w:rsid w:val="00770E01"/>
    <w:rsid w:val="00771F93"/>
    <w:rsid w:val="00774611"/>
    <w:rsid w:val="0077582F"/>
    <w:rsid w:val="00775875"/>
    <w:rsid w:val="0078437B"/>
    <w:rsid w:val="00784848"/>
    <w:rsid w:val="00784A78"/>
    <w:rsid w:val="00784C56"/>
    <w:rsid w:val="00785492"/>
    <w:rsid w:val="00786699"/>
    <w:rsid w:val="007872E4"/>
    <w:rsid w:val="00787457"/>
    <w:rsid w:val="00787A65"/>
    <w:rsid w:val="007912A9"/>
    <w:rsid w:val="007928CE"/>
    <w:rsid w:val="00793B14"/>
    <w:rsid w:val="007949E0"/>
    <w:rsid w:val="00794CB0"/>
    <w:rsid w:val="00795327"/>
    <w:rsid w:val="00795ECB"/>
    <w:rsid w:val="00797A35"/>
    <w:rsid w:val="007A092D"/>
    <w:rsid w:val="007A20E4"/>
    <w:rsid w:val="007A28A7"/>
    <w:rsid w:val="007A294C"/>
    <w:rsid w:val="007A355E"/>
    <w:rsid w:val="007A4087"/>
    <w:rsid w:val="007A506B"/>
    <w:rsid w:val="007A5914"/>
    <w:rsid w:val="007A5DF7"/>
    <w:rsid w:val="007A7D88"/>
    <w:rsid w:val="007B37F8"/>
    <w:rsid w:val="007B4177"/>
    <w:rsid w:val="007B5C1D"/>
    <w:rsid w:val="007B66A7"/>
    <w:rsid w:val="007B69AE"/>
    <w:rsid w:val="007B75EF"/>
    <w:rsid w:val="007C04FA"/>
    <w:rsid w:val="007C07B3"/>
    <w:rsid w:val="007C16BF"/>
    <w:rsid w:val="007C358C"/>
    <w:rsid w:val="007C3CB1"/>
    <w:rsid w:val="007C59DB"/>
    <w:rsid w:val="007C607E"/>
    <w:rsid w:val="007D1532"/>
    <w:rsid w:val="007D1587"/>
    <w:rsid w:val="007D1FF6"/>
    <w:rsid w:val="007D26F6"/>
    <w:rsid w:val="007D383B"/>
    <w:rsid w:val="007D53AC"/>
    <w:rsid w:val="007D59C7"/>
    <w:rsid w:val="007D5B0F"/>
    <w:rsid w:val="007D6BE6"/>
    <w:rsid w:val="007D7370"/>
    <w:rsid w:val="007E2B3E"/>
    <w:rsid w:val="007E2F46"/>
    <w:rsid w:val="007E315C"/>
    <w:rsid w:val="007E6D8E"/>
    <w:rsid w:val="007E7000"/>
    <w:rsid w:val="007F14F5"/>
    <w:rsid w:val="007F7226"/>
    <w:rsid w:val="0080159B"/>
    <w:rsid w:val="008041B9"/>
    <w:rsid w:val="008042E9"/>
    <w:rsid w:val="0080435E"/>
    <w:rsid w:val="008044A7"/>
    <w:rsid w:val="00805594"/>
    <w:rsid w:val="00806A0E"/>
    <w:rsid w:val="00810336"/>
    <w:rsid w:val="00812F1A"/>
    <w:rsid w:val="00814021"/>
    <w:rsid w:val="008147DC"/>
    <w:rsid w:val="00816500"/>
    <w:rsid w:val="00820027"/>
    <w:rsid w:val="00820EC8"/>
    <w:rsid w:val="00821135"/>
    <w:rsid w:val="00821A2E"/>
    <w:rsid w:val="00821E21"/>
    <w:rsid w:val="00822951"/>
    <w:rsid w:val="00823B75"/>
    <w:rsid w:val="00823B92"/>
    <w:rsid w:val="00824F0E"/>
    <w:rsid w:val="008259E4"/>
    <w:rsid w:val="00826EED"/>
    <w:rsid w:val="00827E1E"/>
    <w:rsid w:val="00830CBA"/>
    <w:rsid w:val="00831008"/>
    <w:rsid w:val="008311B3"/>
    <w:rsid w:val="0083155C"/>
    <w:rsid w:val="00833990"/>
    <w:rsid w:val="008339F9"/>
    <w:rsid w:val="00833F5C"/>
    <w:rsid w:val="00834D8E"/>
    <w:rsid w:val="0083628D"/>
    <w:rsid w:val="00837BAB"/>
    <w:rsid w:val="00840369"/>
    <w:rsid w:val="00842CA9"/>
    <w:rsid w:val="00842DDA"/>
    <w:rsid w:val="00843606"/>
    <w:rsid w:val="008438F3"/>
    <w:rsid w:val="00843E24"/>
    <w:rsid w:val="008441CD"/>
    <w:rsid w:val="0084634B"/>
    <w:rsid w:val="0084657A"/>
    <w:rsid w:val="00847A74"/>
    <w:rsid w:val="00847EA6"/>
    <w:rsid w:val="00850946"/>
    <w:rsid w:val="008532C2"/>
    <w:rsid w:val="00857F6E"/>
    <w:rsid w:val="0086071A"/>
    <w:rsid w:val="00861374"/>
    <w:rsid w:val="008619CE"/>
    <w:rsid w:val="00861D8D"/>
    <w:rsid w:val="00862B66"/>
    <w:rsid w:val="008705E3"/>
    <w:rsid w:val="00870635"/>
    <w:rsid w:val="0087248D"/>
    <w:rsid w:val="00873608"/>
    <w:rsid w:val="00873E3D"/>
    <w:rsid w:val="008752C0"/>
    <w:rsid w:val="00875BCB"/>
    <w:rsid w:val="00876521"/>
    <w:rsid w:val="00880D07"/>
    <w:rsid w:val="00881537"/>
    <w:rsid w:val="00883375"/>
    <w:rsid w:val="008838DB"/>
    <w:rsid w:val="0088623E"/>
    <w:rsid w:val="0089074E"/>
    <w:rsid w:val="008909E5"/>
    <w:rsid w:val="00890D08"/>
    <w:rsid w:val="00892E06"/>
    <w:rsid w:val="00893F7A"/>
    <w:rsid w:val="00894A0A"/>
    <w:rsid w:val="00894B05"/>
    <w:rsid w:val="008955BC"/>
    <w:rsid w:val="008965DD"/>
    <w:rsid w:val="008967B0"/>
    <w:rsid w:val="008975E9"/>
    <w:rsid w:val="008A1487"/>
    <w:rsid w:val="008A1CD6"/>
    <w:rsid w:val="008A2683"/>
    <w:rsid w:val="008A2707"/>
    <w:rsid w:val="008A2CEF"/>
    <w:rsid w:val="008A3EC9"/>
    <w:rsid w:val="008A44AD"/>
    <w:rsid w:val="008A45B5"/>
    <w:rsid w:val="008A4B30"/>
    <w:rsid w:val="008A5644"/>
    <w:rsid w:val="008A6377"/>
    <w:rsid w:val="008A7A2F"/>
    <w:rsid w:val="008B186A"/>
    <w:rsid w:val="008B2AA3"/>
    <w:rsid w:val="008B33C1"/>
    <w:rsid w:val="008B4F8B"/>
    <w:rsid w:val="008B707D"/>
    <w:rsid w:val="008B750A"/>
    <w:rsid w:val="008B7A75"/>
    <w:rsid w:val="008C1811"/>
    <w:rsid w:val="008C2535"/>
    <w:rsid w:val="008C2751"/>
    <w:rsid w:val="008C471E"/>
    <w:rsid w:val="008C6322"/>
    <w:rsid w:val="008C7047"/>
    <w:rsid w:val="008D0220"/>
    <w:rsid w:val="008D050C"/>
    <w:rsid w:val="008D0751"/>
    <w:rsid w:val="008D2F8D"/>
    <w:rsid w:val="008D3085"/>
    <w:rsid w:val="008D498E"/>
    <w:rsid w:val="008D4B12"/>
    <w:rsid w:val="008D718C"/>
    <w:rsid w:val="008E14AF"/>
    <w:rsid w:val="008E1534"/>
    <w:rsid w:val="008E1BD5"/>
    <w:rsid w:val="008E3D03"/>
    <w:rsid w:val="008E43D1"/>
    <w:rsid w:val="008E48D1"/>
    <w:rsid w:val="008E534F"/>
    <w:rsid w:val="008E56F8"/>
    <w:rsid w:val="008E5B5F"/>
    <w:rsid w:val="008E5DAF"/>
    <w:rsid w:val="008E61EE"/>
    <w:rsid w:val="008E64CB"/>
    <w:rsid w:val="008F06E5"/>
    <w:rsid w:val="008F0B08"/>
    <w:rsid w:val="008F1B17"/>
    <w:rsid w:val="008F28D9"/>
    <w:rsid w:val="008F29CC"/>
    <w:rsid w:val="008F2D62"/>
    <w:rsid w:val="008F32CD"/>
    <w:rsid w:val="008F3303"/>
    <w:rsid w:val="008F35A0"/>
    <w:rsid w:val="008F41E3"/>
    <w:rsid w:val="008F4914"/>
    <w:rsid w:val="008F6907"/>
    <w:rsid w:val="008F7D4B"/>
    <w:rsid w:val="009009A6"/>
    <w:rsid w:val="00901A7B"/>
    <w:rsid w:val="0090277D"/>
    <w:rsid w:val="0090418B"/>
    <w:rsid w:val="00905E05"/>
    <w:rsid w:val="009064F7"/>
    <w:rsid w:val="009079AE"/>
    <w:rsid w:val="00907A27"/>
    <w:rsid w:val="00907A95"/>
    <w:rsid w:val="00907AEA"/>
    <w:rsid w:val="00910134"/>
    <w:rsid w:val="00911BC0"/>
    <w:rsid w:val="0091403A"/>
    <w:rsid w:val="00915DA8"/>
    <w:rsid w:val="00915F6E"/>
    <w:rsid w:val="00916869"/>
    <w:rsid w:val="00916B41"/>
    <w:rsid w:val="009176B0"/>
    <w:rsid w:val="0092117E"/>
    <w:rsid w:val="00922398"/>
    <w:rsid w:val="00923B3E"/>
    <w:rsid w:val="009240BF"/>
    <w:rsid w:val="0092665F"/>
    <w:rsid w:val="00926ABC"/>
    <w:rsid w:val="009276B0"/>
    <w:rsid w:val="00931AF0"/>
    <w:rsid w:val="009359F1"/>
    <w:rsid w:val="00935C77"/>
    <w:rsid w:val="00935D53"/>
    <w:rsid w:val="00936CC4"/>
    <w:rsid w:val="00937743"/>
    <w:rsid w:val="009377E2"/>
    <w:rsid w:val="009404CF"/>
    <w:rsid w:val="009443C0"/>
    <w:rsid w:val="00944ABA"/>
    <w:rsid w:val="00947EA6"/>
    <w:rsid w:val="00950ADA"/>
    <w:rsid w:val="00951E86"/>
    <w:rsid w:val="00953180"/>
    <w:rsid w:val="00954311"/>
    <w:rsid w:val="009557D7"/>
    <w:rsid w:val="0095587D"/>
    <w:rsid w:val="00956192"/>
    <w:rsid w:val="009561EC"/>
    <w:rsid w:val="009565C3"/>
    <w:rsid w:val="009634AB"/>
    <w:rsid w:val="00965DE3"/>
    <w:rsid w:val="0096680B"/>
    <w:rsid w:val="0096697E"/>
    <w:rsid w:val="00966D02"/>
    <w:rsid w:val="00967736"/>
    <w:rsid w:val="009678EA"/>
    <w:rsid w:val="00972192"/>
    <w:rsid w:val="00973701"/>
    <w:rsid w:val="00973B5C"/>
    <w:rsid w:val="00973DEE"/>
    <w:rsid w:val="00975C86"/>
    <w:rsid w:val="00975D7D"/>
    <w:rsid w:val="00976515"/>
    <w:rsid w:val="00980148"/>
    <w:rsid w:val="00980800"/>
    <w:rsid w:val="009817E8"/>
    <w:rsid w:val="00981C86"/>
    <w:rsid w:val="00982B95"/>
    <w:rsid w:val="009833F1"/>
    <w:rsid w:val="00983417"/>
    <w:rsid w:val="00983CAC"/>
    <w:rsid w:val="009840AE"/>
    <w:rsid w:val="00985AB5"/>
    <w:rsid w:val="00987A22"/>
    <w:rsid w:val="00990092"/>
    <w:rsid w:val="00990429"/>
    <w:rsid w:val="009905CD"/>
    <w:rsid w:val="0099165C"/>
    <w:rsid w:val="0099279B"/>
    <w:rsid w:val="0099350E"/>
    <w:rsid w:val="009936B1"/>
    <w:rsid w:val="00996E8E"/>
    <w:rsid w:val="009A06A1"/>
    <w:rsid w:val="009A1385"/>
    <w:rsid w:val="009A157D"/>
    <w:rsid w:val="009A665B"/>
    <w:rsid w:val="009A6CC6"/>
    <w:rsid w:val="009A76F9"/>
    <w:rsid w:val="009B23EA"/>
    <w:rsid w:val="009B3290"/>
    <w:rsid w:val="009B381E"/>
    <w:rsid w:val="009B71DC"/>
    <w:rsid w:val="009C238D"/>
    <w:rsid w:val="009C25D9"/>
    <w:rsid w:val="009C2752"/>
    <w:rsid w:val="009C2B24"/>
    <w:rsid w:val="009C2D1E"/>
    <w:rsid w:val="009C44A4"/>
    <w:rsid w:val="009C4D97"/>
    <w:rsid w:val="009C5EAE"/>
    <w:rsid w:val="009C6624"/>
    <w:rsid w:val="009C6A1E"/>
    <w:rsid w:val="009C7327"/>
    <w:rsid w:val="009D1A12"/>
    <w:rsid w:val="009D1BA6"/>
    <w:rsid w:val="009D4DAF"/>
    <w:rsid w:val="009D4F3B"/>
    <w:rsid w:val="009D5452"/>
    <w:rsid w:val="009D5A94"/>
    <w:rsid w:val="009D6969"/>
    <w:rsid w:val="009E1366"/>
    <w:rsid w:val="009E29C9"/>
    <w:rsid w:val="009E374F"/>
    <w:rsid w:val="009E4949"/>
    <w:rsid w:val="009E5884"/>
    <w:rsid w:val="009E58ED"/>
    <w:rsid w:val="009E6374"/>
    <w:rsid w:val="009E63F1"/>
    <w:rsid w:val="009E6591"/>
    <w:rsid w:val="009F06B0"/>
    <w:rsid w:val="009F0AD6"/>
    <w:rsid w:val="009F22AF"/>
    <w:rsid w:val="009F2AE8"/>
    <w:rsid w:val="009F327C"/>
    <w:rsid w:val="009F366F"/>
    <w:rsid w:val="009F4CAE"/>
    <w:rsid w:val="009F54C3"/>
    <w:rsid w:val="009F799C"/>
    <w:rsid w:val="00A00346"/>
    <w:rsid w:val="00A02068"/>
    <w:rsid w:val="00A0637C"/>
    <w:rsid w:val="00A07A20"/>
    <w:rsid w:val="00A112E7"/>
    <w:rsid w:val="00A17529"/>
    <w:rsid w:val="00A17682"/>
    <w:rsid w:val="00A20532"/>
    <w:rsid w:val="00A20814"/>
    <w:rsid w:val="00A20D72"/>
    <w:rsid w:val="00A21156"/>
    <w:rsid w:val="00A225D0"/>
    <w:rsid w:val="00A24686"/>
    <w:rsid w:val="00A25593"/>
    <w:rsid w:val="00A27068"/>
    <w:rsid w:val="00A2708A"/>
    <w:rsid w:val="00A31C21"/>
    <w:rsid w:val="00A31D08"/>
    <w:rsid w:val="00A33926"/>
    <w:rsid w:val="00A34796"/>
    <w:rsid w:val="00A35590"/>
    <w:rsid w:val="00A35EB2"/>
    <w:rsid w:val="00A401BA"/>
    <w:rsid w:val="00A42854"/>
    <w:rsid w:val="00A4290C"/>
    <w:rsid w:val="00A42D45"/>
    <w:rsid w:val="00A44D23"/>
    <w:rsid w:val="00A44E6C"/>
    <w:rsid w:val="00A47729"/>
    <w:rsid w:val="00A503B1"/>
    <w:rsid w:val="00A52229"/>
    <w:rsid w:val="00A54F6C"/>
    <w:rsid w:val="00A55D33"/>
    <w:rsid w:val="00A56581"/>
    <w:rsid w:val="00A56AF1"/>
    <w:rsid w:val="00A609CF"/>
    <w:rsid w:val="00A60FAE"/>
    <w:rsid w:val="00A613B8"/>
    <w:rsid w:val="00A61B9E"/>
    <w:rsid w:val="00A63839"/>
    <w:rsid w:val="00A6445C"/>
    <w:rsid w:val="00A647A1"/>
    <w:rsid w:val="00A6751F"/>
    <w:rsid w:val="00A70147"/>
    <w:rsid w:val="00A73ACA"/>
    <w:rsid w:val="00A749BF"/>
    <w:rsid w:val="00A74CC6"/>
    <w:rsid w:val="00A75729"/>
    <w:rsid w:val="00A76B01"/>
    <w:rsid w:val="00A76DC3"/>
    <w:rsid w:val="00A77929"/>
    <w:rsid w:val="00A8046E"/>
    <w:rsid w:val="00A80E81"/>
    <w:rsid w:val="00A822B2"/>
    <w:rsid w:val="00A82648"/>
    <w:rsid w:val="00A82B71"/>
    <w:rsid w:val="00A83729"/>
    <w:rsid w:val="00A85D7B"/>
    <w:rsid w:val="00A87739"/>
    <w:rsid w:val="00A90503"/>
    <w:rsid w:val="00A928AF"/>
    <w:rsid w:val="00A93216"/>
    <w:rsid w:val="00A93F34"/>
    <w:rsid w:val="00A94B13"/>
    <w:rsid w:val="00A96C0B"/>
    <w:rsid w:val="00A96D1B"/>
    <w:rsid w:val="00A97519"/>
    <w:rsid w:val="00A979ED"/>
    <w:rsid w:val="00AA0BC7"/>
    <w:rsid w:val="00AA203D"/>
    <w:rsid w:val="00AA279E"/>
    <w:rsid w:val="00AA2D93"/>
    <w:rsid w:val="00AA4930"/>
    <w:rsid w:val="00AA537E"/>
    <w:rsid w:val="00AA59A0"/>
    <w:rsid w:val="00AA6C81"/>
    <w:rsid w:val="00AA6FD4"/>
    <w:rsid w:val="00AB0812"/>
    <w:rsid w:val="00AB2920"/>
    <w:rsid w:val="00AB30EB"/>
    <w:rsid w:val="00AB385C"/>
    <w:rsid w:val="00AC0A94"/>
    <w:rsid w:val="00AC1A4B"/>
    <w:rsid w:val="00AC3642"/>
    <w:rsid w:val="00AC7A3E"/>
    <w:rsid w:val="00AD0126"/>
    <w:rsid w:val="00AD01C2"/>
    <w:rsid w:val="00AD0FCB"/>
    <w:rsid w:val="00AD159C"/>
    <w:rsid w:val="00AD320D"/>
    <w:rsid w:val="00AD4DD2"/>
    <w:rsid w:val="00AD75C9"/>
    <w:rsid w:val="00AE1333"/>
    <w:rsid w:val="00AE196C"/>
    <w:rsid w:val="00AE6FA7"/>
    <w:rsid w:val="00AE7035"/>
    <w:rsid w:val="00AE704C"/>
    <w:rsid w:val="00AE7757"/>
    <w:rsid w:val="00AF0004"/>
    <w:rsid w:val="00AF060E"/>
    <w:rsid w:val="00AF111D"/>
    <w:rsid w:val="00AF2D42"/>
    <w:rsid w:val="00AF569A"/>
    <w:rsid w:val="00AF572D"/>
    <w:rsid w:val="00AF5EEF"/>
    <w:rsid w:val="00AF79CB"/>
    <w:rsid w:val="00AF7F1E"/>
    <w:rsid w:val="00B012CD"/>
    <w:rsid w:val="00B01639"/>
    <w:rsid w:val="00B0198B"/>
    <w:rsid w:val="00B03B71"/>
    <w:rsid w:val="00B07D81"/>
    <w:rsid w:val="00B14B36"/>
    <w:rsid w:val="00B15C71"/>
    <w:rsid w:val="00B166B5"/>
    <w:rsid w:val="00B174D2"/>
    <w:rsid w:val="00B216CF"/>
    <w:rsid w:val="00B21946"/>
    <w:rsid w:val="00B246B4"/>
    <w:rsid w:val="00B262C8"/>
    <w:rsid w:val="00B26DB6"/>
    <w:rsid w:val="00B3015E"/>
    <w:rsid w:val="00B30D09"/>
    <w:rsid w:val="00B34382"/>
    <w:rsid w:val="00B34C51"/>
    <w:rsid w:val="00B3525C"/>
    <w:rsid w:val="00B36020"/>
    <w:rsid w:val="00B3735E"/>
    <w:rsid w:val="00B400EE"/>
    <w:rsid w:val="00B40885"/>
    <w:rsid w:val="00B40C3C"/>
    <w:rsid w:val="00B41404"/>
    <w:rsid w:val="00B41EA1"/>
    <w:rsid w:val="00B42A83"/>
    <w:rsid w:val="00B452A3"/>
    <w:rsid w:val="00B4537B"/>
    <w:rsid w:val="00B505F9"/>
    <w:rsid w:val="00B50E2D"/>
    <w:rsid w:val="00B510BF"/>
    <w:rsid w:val="00B523ED"/>
    <w:rsid w:val="00B5244A"/>
    <w:rsid w:val="00B531AB"/>
    <w:rsid w:val="00B53AD8"/>
    <w:rsid w:val="00B53C34"/>
    <w:rsid w:val="00B5436A"/>
    <w:rsid w:val="00B56D2F"/>
    <w:rsid w:val="00B60F96"/>
    <w:rsid w:val="00B651E4"/>
    <w:rsid w:val="00B653DB"/>
    <w:rsid w:val="00B65791"/>
    <w:rsid w:val="00B66A36"/>
    <w:rsid w:val="00B67F56"/>
    <w:rsid w:val="00B71EFA"/>
    <w:rsid w:val="00B72438"/>
    <w:rsid w:val="00B72BAB"/>
    <w:rsid w:val="00B74559"/>
    <w:rsid w:val="00B76557"/>
    <w:rsid w:val="00B85489"/>
    <w:rsid w:val="00B87179"/>
    <w:rsid w:val="00B9048A"/>
    <w:rsid w:val="00B906E1"/>
    <w:rsid w:val="00B93B50"/>
    <w:rsid w:val="00B951FF"/>
    <w:rsid w:val="00BA000A"/>
    <w:rsid w:val="00BA0F40"/>
    <w:rsid w:val="00BA118B"/>
    <w:rsid w:val="00BA328B"/>
    <w:rsid w:val="00BA3D5F"/>
    <w:rsid w:val="00BA47F0"/>
    <w:rsid w:val="00BA4E0F"/>
    <w:rsid w:val="00BB0782"/>
    <w:rsid w:val="00BB0DE5"/>
    <w:rsid w:val="00BB1C7E"/>
    <w:rsid w:val="00BB2E04"/>
    <w:rsid w:val="00BB3000"/>
    <w:rsid w:val="00BB34E3"/>
    <w:rsid w:val="00BB5721"/>
    <w:rsid w:val="00BB69DB"/>
    <w:rsid w:val="00BB6F82"/>
    <w:rsid w:val="00BC1486"/>
    <w:rsid w:val="00BC2BA2"/>
    <w:rsid w:val="00BC2ED4"/>
    <w:rsid w:val="00BC36B3"/>
    <w:rsid w:val="00BC6BCA"/>
    <w:rsid w:val="00BD0693"/>
    <w:rsid w:val="00BD08E5"/>
    <w:rsid w:val="00BD0CA8"/>
    <w:rsid w:val="00BD0CCE"/>
    <w:rsid w:val="00BD0F2D"/>
    <w:rsid w:val="00BD1014"/>
    <w:rsid w:val="00BD1410"/>
    <w:rsid w:val="00BD396E"/>
    <w:rsid w:val="00BD4914"/>
    <w:rsid w:val="00BD55B7"/>
    <w:rsid w:val="00BD659A"/>
    <w:rsid w:val="00BD7A4A"/>
    <w:rsid w:val="00BD7AF5"/>
    <w:rsid w:val="00BD7F12"/>
    <w:rsid w:val="00BE0572"/>
    <w:rsid w:val="00BE0F0E"/>
    <w:rsid w:val="00BE1323"/>
    <w:rsid w:val="00BE1774"/>
    <w:rsid w:val="00BE20C3"/>
    <w:rsid w:val="00BE2331"/>
    <w:rsid w:val="00BE470D"/>
    <w:rsid w:val="00BE4A53"/>
    <w:rsid w:val="00BE55B6"/>
    <w:rsid w:val="00BE7875"/>
    <w:rsid w:val="00BF0642"/>
    <w:rsid w:val="00BF1223"/>
    <w:rsid w:val="00BF21B1"/>
    <w:rsid w:val="00BF29AC"/>
    <w:rsid w:val="00BF4912"/>
    <w:rsid w:val="00BF4B8F"/>
    <w:rsid w:val="00C00081"/>
    <w:rsid w:val="00C000FD"/>
    <w:rsid w:val="00C005BC"/>
    <w:rsid w:val="00C01DF1"/>
    <w:rsid w:val="00C04D83"/>
    <w:rsid w:val="00C1070D"/>
    <w:rsid w:val="00C10B3B"/>
    <w:rsid w:val="00C11ECE"/>
    <w:rsid w:val="00C129DE"/>
    <w:rsid w:val="00C15061"/>
    <w:rsid w:val="00C150BB"/>
    <w:rsid w:val="00C16B79"/>
    <w:rsid w:val="00C2099E"/>
    <w:rsid w:val="00C21E7B"/>
    <w:rsid w:val="00C224C0"/>
    <w:rsid w:val="00C22816"/>
    <w:rsid w:val="00C23CF0"/>
    <w:rsid w:val="00C243BA"/>
    <w:rsid w:val="00C249F4"/>
    <w:rsid w:val="00C24E63"/>
    <w:rsid w:val="00C252CB"/>
    <w:rsid w:val="00C3125A"/>
    <w:rsid w:val="00C31272"/>
    <w:rsid w:val="00C31BB5"/>
    <w:rsid w:val="00C34562"/>
    <w:rsid w:val="00C369F9"/>
    <w:rsid w:val="00C373E8"/>
    <w:rsid w:val="00C47AA5"/>
    <w:rsid w:val="00C51826"/>
    <w:rsid w:val="00C525CD"/>
    <w:rsid w:val="00C52A04"/>
    <w:rsid w:val="00C52F58"/>
    <w:rsid w:val="00C5468F"/>
    <w:rsid w:val="00C551BE"/>
    <w:rsid w:val="00C55F9D"/>
    <w:rsid w:val="00C579D5"/>
    <w:rsid w:val="00C57DA9"/>
    <w:rsid w:val="00C57FF1"/>
    <w:rsid w:val="00C60145"/>
    <w:rsid w:val="00C60836"/>
    <w:rsid w:val="00C60B49"/>
    <w:rsid w:val="00C61564"/>
    <w:rsid w:val="00C6168E"/>
    <w:rsid w:val="00C62223"/>
    <w:rsid w:val="00C62521"/>
    <w:rsid w:val="00C63544"/>
    <w:rsid w:val="00C64C90"/>
    <w:rsid w:val="00C656ED"/>
    <w:rsid w:val="00C66683"/>
    <w:rsid w:val="00C6688D"/>
    <w:rsid w:val="00C715BD"/>
    <w:rsid w:val="00C7228F"/>
    <w:rsid w:val="00C76128"/>
    <w:rsid w:val="00C82776"/>
    <w:rsid w:val="00C8303E"/>
    <w:rsid w:val="00C83373"/>
    <w:rsid w:val="00C83C7F"/>
    <w:rsid w:val="00C84EC9"/>
    <w:rsid w:val="00C85731"/>
    <w:rsid w:val="00C863E5"/>
    <w:rsid w:val="00C8685C"/>
    <w:rsid w:val="00C877B1"/>
    <w:rsid w:val="00C87826"/>
    <w:rsid w:val="00C87D65"/>
    <w:rsid w:val="00C900B9"/>
    <w:rsid w:val="00C9066A"/>
    <w:rsid w:val="00C90AE0"/>
    <w:rsid w:val="00C922B5"/>
    <w:rsid w:val="00C926AE"/>
    <w:rsid w:val="00C9400D"/>
    <w:rsid w:val="00C9595A"/>
    <w:rsid w:val="00C961B0"/>
    <w:rsid w:val="00CA0E6D"/>
    <w:rsid w:val="00CA0FE5"/>
    <w:rsid w:val="00CA1B3B"/>
    <w:rsid w:val="00CA560E"/>
    <w:rsid w:val="00CA5CC9"/>
    <w:rsid w:val="00CA6E11"/>
    <w:rsid w:val="00CA723F"/>
    <w:rsid w:val="00CB094C"/>
    <w:rsid w:val="00CB09CE"/>
    <w:rsid w:val="00CB146F"/>
    <w:rsid w:val="00CB1B1A"/>
    <w:rsid w:val="00CB2A6E"/>
    <w:rsid w:val="00CB69AF"/>
    <w:rsid w:val="00CB6C17"/>
    <w:rsid w:val="00CB7304"/>
    <w:rsid w:val="00CB78C4"/>
    <w:rsid w:val="00CC0897"/>
    <w:rsid w:val="00CC15AA"/>
    <w:rsid w:val="00CC1CB4"/>
    <w:rsid w:val="00CC3478"/>
    <w:rsid w:val="00CC7D0A"/>
    <w:rsid w:val="00CD02AB"/>
    <w:rsid w:val="00CD13F8"/>
    <w:rsid w:val="00CD28D5"/>
    <w:rsid w:val="00CD2BDC"/>
    <w:rsid w:val="00CD2EA0"/>
    <w:rsid w:val="00CD330F"/>
    <w:rsid w:val="00CD4123"/>
    <w:rsid w:val="00CD6788"/>
    <w:rsid w:val="00CD681E"/>
    <w:rsid w:val="00CE11F6"/>
    <w:rsid w:val="00CE199A"/>
    <w:rsid w:val="00CE2716"/>
    <w:rsid w:val="00CE2DFA"/>
    <w:rsid w:val="00CE2F2A"/>
    <w:rsid w:val="00CE45FA"/>
    <w:rsid w:val="00CE461E"/>
    <w:rsid w:val="00CE699E"/>
    <w:rsid w:val="00CE7B3A"/>
    <w:rsid w:val="00CF00D7"/>
    <w:rsid w:val="00CF01F6"/>
    <w:rsid w:val="00CF2C6A"/>
    <w:rsid w:val="00CF4533"/>
    <w:rsid w:val="00CF5CDF"/>
    <w:rsid w:val="00CF6701"/>
    <w:rsid w:val="00CF6DC4"/>
    <w:rsid w:val="00CF76B3"/>
    <w:rsid w:val="00CF77BF"/>
    <w:rsid w:val="00CF7D07"/>
    <w:rsid w:val="00D00BE7"/>
    <w:rsid w:val="00D00E94"/>
    <w:rsid w:val="00D03109"/>
    <w:rsid w:val="00D03A53"/>
    <w:rsid w:val="00D04219"/>
    <w:rsid w:val="00D042B9"/>
    <w:rsid w:val="00D06361"/>
    <w:rsid w:val="00D075C8"/>
    <w:rsid w:val="00D100AF"/>
    <w:rsid w:val="00D100F6"/>
    <w:rsid w:val="00D11335"/>
    <w:rsid w:val="00D11A4B"/>
    <w:rsid w:val="00D14823"/>
    <w:rsid w:val="00D17BFC"/>
    <w:rsid w:val="00D21EDF"/>
    <w:rsid w:val="00D21F05"/>
    <w:rsid w:val="00D24521"/>
    <w:rsid w:val="00D250E4"/>
    <w:rsid w:val="00D270E9"/>
    <w:rsid w:val="00D27C6F"/>
    <w:rsid w:val="00D30B66"/>
    <w:rsid w:val="00D30C64"/>
    <w:rsid w:val="00D31842"/>
    <w:rsid w:val="00D31C14"/>
    <w:rsid w:val="00D31CD1"/>
    <w:rsid w:val="00D33A2C"/>
    <w:rsid w:val="00D35098"/>
    <w:rsid w:val="00D362E8"/>
    <w:rsid w:val="00D36F00"/>
    <w:rsid w:val="00D40A25"/>
    <w:rsid w:val="00D42F42"/>
    <w:rsid w:val="00D43767"/>
    <w:rsid w:val="00D4461C"/>
    <w:rsid w:val="00D46E67"/>
    <w:rsid w:val="00D478F6"/>
    <w:rsid w:val="00D501A1"/>
    <w:rsid w:val="00D52251"/>
    <w:rsid w:val="00D55607"/>
    <w:rsid w:val="00D60512"/>
    <w:rsid w:val="00D60B36"/>
    <w:rsid w:val="00D61D54"/>
    <w:rsid w:val="00D63CCB"/>
    <w:rsid w:val="00D65446"/>
    <w:rsid w:val="00D65E59"/>
    <w:rsid w:val="00D67480"/>
    <w:rsid w:val="00D7055A"/>
    <w:rsid w:val="00D70A75"/>
    <w:rsid w:val="00D72556"/>
    <w:rsid w:val="00D72A31"/>
    <w:rsid w:val="00D73D1F"/>
    <w:rsid w:val="00D7465B"/>
    <w:rsid w:val="00D8203D"/>
    <w:rsid w:val="00D85741"/>
    <w:rsid w:val="00D903E2"/>
    <w:rsid w:val="00D9055C"/>
    <w:rsid w:val="00D90A45"/>
    <w:rsid w:val="00D90C50"/>
    <w:rsid w:val="00D92F9F"/>
    <w:rsid w:val="00D93260"/>
    <w:rsid w:val="00D934F0"/>
    <w:rsid w:val="00D94754"/>
    <w:rsid w:val="00D94C5D"/>
    <w:rsid w:val="00D94D65"/>
    <w:rsid w:val="00D95E2C"/>
    <w:rsid w:val="00D977EB"/>
    <w:rsid w:val="00DA3DF4"/>
    <w:rsid w:val="00DA48DA"/>
    <w:rsid w:val="00DA5D82"/>
    <w:rsid w:val="00DA6976"/>
    <w:rsid w:val="00DA6D2E"/>
    <w:rsid w:val="00DA7ECA"/>
    <w:rsid w:val="00DB0169"/>
    <w:rsid w:val="00DB02E7"/>
    <w:rsid w:val="00DB0AC3"/>
    <w:rsid w:val="00DB19FF"/>
    <w:rsid w:val="00DB1F3F"/>
    <w:rsid w:val="00DB2168"/>
    <w:rsid w:val="00DB2200"/>
    <w:rsid w:val="00DB31BA"/>
    <w:rsid w:val="00DB41EA"/>
    <w:rsid w:val="00DB456B"/>
    <w:rsid w:val="00DB67FA"/>
    <w:rsid w:val="00DB6D2A"/>
    <w:rsid w:val="00DB6E4E"/>
    <w:rsid w:val="00DB715E"/>
    <w:rsid w:val="00DB71DB"/>
    <w:rsid w:val="00DC0DDA"/>
    <w:rsid w:val="00DC2152"/>
    <w:rsid w:val="00DC6060"/>
    <w:rsid w:val="00DC611C"/>
    <w:rsid w:val="00DC663A"/>
    <w:rsid w:val="00DC781A"/>
    <w:rsid w:val="00DC78D5"/>
    <w:rsid w:val="00DC7E22"/>
    <w:rsid w:val="00DD0632"/>
    <w:rsid w:val="00DD14A2"/>
    <w:rsid w:val="00DD2A09"/>
    <w:rsid w:val="00DD2E0F"/>
    <w:rsid w:val="00DD31EE"/>
    <w:rsid w:val="00DD3713"/>
    <w:rsid w:val="00DD3AC8"/>
    <w:rsid w:val="00DD3B2B"/>
    <w:rsid w:val="00DD3CB9"/>
    <w:rsid w:val="00DD55D5"/>
    <w:rsid w:val="00DD590B"/>
    <w:rsid w:val="00DD6D36"/>
    <w:rsid w:val="00DE08A0"/>
    <w:rsid w:val="00DE12BA"/>
    <w:rsid w:val="00DE3FD7"/>
    <w:rsid w:val="00DE6C5B"/>
    <w:rsid w:val="00DE7345"/>
    <w:rsid w:val="00DF043F"/>
    <w:rsid w:val="00DF253B"/>
    <w:rsid w:val="00DF278B"/>
    <w:rsid w:val="00DF3D29"/>
    <w:rsid w:val="00DF49DC"/>
    <w:rsid w:val="00DF4B97"/>
    <w:rsid w:val="00DF6EFD"/>
    <w:rsid w:val="00DF742C"/>
    <w:rsid w:val="00DF7938"/>
    <w:rsid w:val="00E000E2"/>
    <w:rsid w:val="00E004DB"/>
    <w:rsid w:val="00E005C1"/>
    <w:rsid w:val="00E01B3E"/>
    <w:rsid w:val="00E01C97"/>
    <w:rsid w:val="00E01F24"/>
    <w:rsid w:val="00E020B4"/>
    <w:rsid w:val="00E028C6"/>
    <w:rsid w:val="00E07299"/>
    <w:rsid w:val="00E0761F"/>
    <w:rsid w:val="00E10987"/>
    <w:rsid w:val="00E10E9F"/>
    <w:rsid w:val="00E112F7"/>
    <w:rsid w:val="00E12162"/>
    <w:rsid w:val="00E1237D"/>
    <w:rsid w:val="00E1246C"/>
    <w:rsid w:val="00E15335"/>
    <w:rsid w:val="00E15FE2"/>
    <w:rsid w:val="00E16C52"/>
    <w:rsid w:val="00E17A0A"/>
    <w:rsid w:val="00E20973"/>
    <w:rsid w:val="00E20A4C"/>
    <w:rsid w:val="00E20EAD"/>
    <w:rsid w:val="00E2114F"/>
    <w:rsid w:val="00E231B5"/>
    <w:rsid w:val="00E2382B"/>
    <w:rsid w:val="00E26138"/>
    <w:rsid w:val="00E27D5F"/>
    <w:rsid w:val="00E32F77"/>
    <w:rsid w:val="00E33F31"/>
    <w:rsid w:val="00E37B03"/>
    <w:rsid w:val="00E417DD"/>
    <w:rsid w:val="00E41838"/>
    <w:rsid w:val="00E429CC"/>
    <w:rsid w:val="00E4497F"/>
    <w:rsid w:val="00E44A2E"/>
    <w:rsid w:val="00E44AD5"/>
    <w:rsid w:val="00E456B9"/>
    <w:rsid w:val="00E50618"/>
    <w:rsid w:val="00E51892"/>
    <w:rsid w:val="00E51C99"/>
    <w:rsid w:val="00E5267F"/>
    <w:rsid w:val="00E52E82"/>
    <w:rsid w:val="00E5406C"/>
    <w:rsid w:val="00E541DB"/>
    <w:rsid w:val="00E54F18"/>
    <w:rsid w:val="00E60E89"/>
    <w:rsid w:val="00E61936"/>
    <w:rsid w:val="00E62BA0"/>
    <w:rsid w:val="00E64002"/>
    <w:rsid w:val="00E65069"/>
    <w:rsid w:val="00E6615D"/>
    <w:rsid w:val="00E661DA"/>
    <w:rsid w:val="00E666A2"/>
    <w:rsid w:val="00E669C2"/>
    <w:rsid w:val="00E676F8"/>
    <w:rsid w:val="00E6795C"/>
    <w:rsid w:val="00E70CBD"/>
    <w:rsid w:val="00E70FF3"/>
    <w:rsid w:val="00E723B5"/>
    <w:rsid w:val="00E72D9D"/>
    <w:rsid w:val="00E73A92"/>
    <w:rsid w:val="00E760AA"/>
    <w:rsid w:val="00E775D3"/>
    <w:rsid w:val="00E806D4"/>
    <w:rsid w:val="00E827E8"/>
    <w:rsid w:val="00E82F23"/>
    <w:rsid w:val="00E832F5"/>
    <w:rsid w:val="00E85FC6"/>
    <w:rsid w:val="00E86D1B"/>
    <w:rsid w:val="00E87DB5"/>
    <w:rsid w:val="00E90947"/>
    <w:rsid w:val="00E963FB"/>
    <w:rsid w:val="00E975A8"/>
    <w:rsid w:val="00E97DAC"/>
    <w:rsid w:val="00EA0275"/>
    <w:rsid w:val="00EA23CB"/>
    <w:rsid w:val="00EA29A3"/>
    <w:rsid w:val="00EA4074"/>
    <w:rsid w:val="00EA543D"/>
    <w:rsid w:val="00EA6AA0"/>
    <w:rsid w:val="00EA71B1"/>
    <w:rsid w:val="00EB025B"/>
    <w:rsid w:val="00EB0CD0"/>
    <w:rsid w:val="00EB1927"/>
    <w:rsid w:val="00EB198B"/>
    <w:rsid w:val="00EB2240"/>
    <w:rsid w:val="00EB370D"/>
    <w:rsid w:val="00EB38EF"/>
    <w:rsid w:val="00EB44C1"/>
    <w:rsid w:val="00EC061A"/>
    <w:rsid w:val="00EC15BB"/>
    <w:rsid w:val="00EC161A"/>
    <w:rsid w:val="00EC2003"/>
    <w:rsid w:val="00EC4E93"/>
    <w:rsid w:val="00EC6E0D"/>
    <w:rsid w:val="00ED006E"/>
    <w:rsid w:val="00ED0802"/>
    <w:rsid w:val="00ED4506"/>
    <w:rsid w:val="00ED4943"/>
    <w:rsid w:val="00ED5D29"/>
    <w:rsid w:val="00ED6EE3"/>
    <w:rsid w:val="00ED6F01"/>
    <w:rsid w:val="00EE1F28"/>
    <w:rsid w:val="00EE46DE"/>
    <w:rsid w:val="00EE7541"/>
    <w:rsid w:val="00EE79AE"/>
    <w:rsid w:val="00EF067B"/>
    <w:rsid w:val="00EF0CD0"/>
    <w:rsid w:val="00EF284D"/>
    <w:rsid w:val="00EF2A2C"/>
    <w:rsid w:val="00EF30E5"/>
    <w:rsid w:val="00EF4272"/>
    <w:rsid w:val="00EF488D"/>
    <w:rsid w:val="00EF4D44"/>
    <w:rsid w:val="00EF51F3"/>
    <w:rsid w:val="00EF5746"/>
    <w:rsid w:val="00EF587D"/>
    <w:rsid w:val="00EF67C0"/>
    <w:rsid w:val="00EF7A51"/>
    <w:rsid w:val="00EF7E66"/>
    <w:rsid w:val="00F0098C"/>
    <w:rsid w:val="00F03628"/>
    <w:rsid w:val="00F06D25"/>
    <w:rsid w:val="00F11E9E"/>
    <w:rsid w:val="00F1504E"/>
    <w:rsid w:val="00F1512E"/>
    <w:rsid w:val="00F1724D"/>
    <w:rsid w:val="00F206EA"/>
    <w:rsid w:val="00F2236E"/>
    <w:rsid w:val="00F232DE"/>
    <w:rsid w:val="00F24977"/>
    <w:rsid w:val="00F24B2C"/>
    <w:rsid w:val="00F26279"/>
    <w:rsid w:val="00F2705F"/>
    <w:rsid w:val="00F27C6C"/>
    <w:rsid w:val="00F33BDF"/>
    <w:rsid w:val="00F3755A"/>
    <w:rsid w:val="00F37A62"/>
    <w:rsid w:val="00F4129B"/>
    <w:rsid w:val="00F42649"/>
    <w:rsid w:val="00F43AF9"/>
    <w:rsid w:val="00F43B91"/>
    <w:rsid w:val="00F43F47"/>
    <w:rsid w:val="00F45473"/>
    <w:rsid w:val="00F45A78"/>
    <w:rsid w:val="00F468B8"/>
    <w:rsid w:val="00F470C3"/>
    <w:rsid w:val="00F51A9F"/>
    <w:rsid w:val="00F52D4D"/>
    <w:rsid w:val="00F52E60"/>
    <w:rsid w:val="00F537FA"/>
    <w:rsid w:val="00F54E96"/>
    <w:rsid w:val="00F55EDD"/>
    <w:rsid w:val="00F618F1"/>
    <w:rsid w:val="00F62A1B"/>
    <w:rsid w:val="00F650D3"/>
    <w:rsid w:val="00F6565E"/>
    <w:rsid w:val="00F6643C"/>
    <w:rsid w:val="00F7024F"/>
    <w:rsid w:val="00F72189"/>
    <w:rsid w:val="00F73219"/>
    <w:rsid w:val="00F73667"/>
    <w:rsid w:val="00F73AB8"/>
    <w:rsid w:val="00F73D39"/>
    <w:rsid w:val="00F7454F"/>
    <w:rsid w:val="00F7637B"/>
    <w:rsid w:val="00F76BCF"/>
    <w:rsid w:val="00F77CF6"/>
    <w:rsid w:val="00F81454"/>
    <w:rsid w:val="00F8335E"/>
    <w:rsid w:val="00F86559"/>
    <w:rsid w:val="00F87C10"/>
    <w:rsid w:val="00F901D0"/>
    <w:rsid w:val="00F91E8F"/>
    <w:rsid w:val="00F92280"/>
    <w:rsid w:val="00F93C7A"/>
    <w:rsid w:val="00F941F9"/>
    <w:rsid w:val="00F943CE"/>
    <w:rsid w:val="00F9478D"/>
    <w:rsid w:val="00FA062B"/>
    <w:rsid w:val="00FA0D5C"/>
    <w:rsid w:val="00FA1077"/>
    <w:rsid w:val="00FA21AA"/>
    <w:rsid w:val="00FA47DC"/>
    <w:rsid w:val="00FA6179"/>
    <w:rsid w:val="00FA66DE"/>
    <w:rsid w:val="00FA6C94"/>
    <w:rsid w:val="00FA7CB6"/>
    <w:rsid w:val="00FB071A"/>
    <w:rsid w:val="00FB1A16"/>
    <w:rsid w:val="00FB1A1C"/>
    <w:rsid w:val="00FB2692"/>
    <w:rsid w:val="00FB45DC"/>
    <w:rsid w:val="00FB5FAE"/>
    <w:rsid w:val="00FB676B"/>
    <w:rsid w:val="00FB743A"/>
    <w:rsid w:val="00FB75B2"/>
    <w:rsid w:val="00FB7FC4"/>
    <w:rsid w:val="00FC0303"/>
    <w:rsid w:val="00FC1267"/>
    <w:rsid w:val="00FC1DF8"/>
    <w:rsid w:val="00FC28C3"/>
    <w:rsid w:val="00FC430A"/>
    <w:rsid w:val="00FC5120"/>
    <w:rsid w:val="00FC5961"/>
    <w:rsid w:val="00FC5F3D"/>
    <w:rsid w:val="00FD0D95"/>
    <w:rsid w:val="00FD3526"/>
    <w:rsid w:val="00FD5713"/>
    <w:rsid w:val="00FD6CF0"/>
    <w:rsid w:val="00FD7791"/>
    <w:rsid w:val="00FD7CF9"/>
    <w:rsid w:val="00FE0185"/>
    <w:rsid w:val="00FE0DFF"/>
    <w:rsid w:val="00FE39A9"/>
    <w:rsid w:val="00FE4B86"/>
    <w:rsid w:val="00FE6A77"/>
    <w:rsid w:val="00FF1D41"/>
    <w:rsid w:val="00FF2CC0"/>
    <w:rsid w:val="00FF2F4B"/>
    <w:rsid w:val="00FF4EC4"/>
    <w:rsid w:val="00FF5BFB"/>
    <w:rsid w:val="00FF7A1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1085A"/>
  <w15:docId w15:val="{A25DB724-D603-49A6-8418-DF4BCBBB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79"/>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670C79"/>
    <w:pPr>
      <w:keepNext/>
      <w:spacing w:line="360" w:lineRule="auto"/>
      <w:outlineLvl w:val="0"/>
    </w:pPr>
    <w:rPr>
      <w:rFonts w:eastAsia="Calibri"/>
      <w:szCs w:val="20"/>
      <w:lang w:eastAsia="ro-RO"/>
    </w:rPr>
  </w:style>
  <w:style w:type="paragraph" w:styleId="Heading2">
    <w:name w:val="heading 2"/>
    <w:basedOn w:val="Normal"/>
    <w:next w:val="Normal"/>
    <w:link w:val="Heading2Char"/>
    <w:uiPriority w:val="99"/>
    <w:qFormat/>
    <w:rsid w:val="00670C79"/>
    <w:pPr>
      <w:keepNext/>
      <w:jc w:val="both"/>
      <w:outlineLvl w:val="1"/>
    </w:pPr>
    <w:rPr>
      <w:rFonts w:eastAsia="Calibri"/>
      <w:szCs w:val="20"/>
      <w:lang w:eastAsia="ro-RO"/>
    </w:rPr>
  </w:style>
  <w:style w:type="paragraph" w:styleId="Heading3">
    <w:name w:val="heading 3"/>
    <w:basedOn w:val="Normal"/>
    <w:next w:val="Normal"/>
    <w:link w:val="Heading3Char"/>
    <w:uiPriority w:val="99"/>
    <w:qFormat/>
    <w:rsid w:val="00C01DF1"/>
    <w:pPr>
      <w:keepNext/>
      <w:keepLines/>
      <w:spacing w:before="200"/>
      <w:outlineLvl w:val="2"/>
    </w:pPr>
    <w:rPr>
      <w:rFonts w:ascii="Calibri Light" w:eastAsia="Calibri" w:hAnsi="Calibri Light"/>
      <w:b/>
      <w:color w:val="5B9BD5"/>
      <w:szCs w:val="20"/>
      <w:lang w:eastAsia="ro-RO"/>
    </w:rPr>
  </w:style>
  <w:style w:type="paragraph" w:styleId="Heading6">
    <w:name w:val="heading 6"/>
    <w:basedOn w:val="Normal"/>
    <w:next w:val="Normal"/>
    <w:link w:val="Heading6Char"/>
    <w:uiPriority w:val="99"/>
    <w:qFormat/>
    <w:rsid w:val="00670C79"/>
    <w:pPr>
      <w:keepNext/>
      <w:spacing w:before="120" w:after="120" w:line="360" w:lineRule="auto"/>
      <w:outlineLvl w:val="5"/>
    </w:pPr>
    <w:rPr>
      <w:rFonts w:eastAsia="Calibri"/>
      <w:b/>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0C79"/>
    <w:rPr>
      <w:rFonts w:ascii="Times New Roman" w:hAnsi="Times New Roman" w:cs="Times New Roman"/>
      <w:sz w:val="24"/>
      <w:lang w:val="ro-RO"/>
    </w:rPr>
  </w:style>
  <w:style w:type="character" w:customStyle="1" w:styleId="Heading2Char">
    <w:name w:val="Heading 2 Char"/>
    <w:basedOn w:val="DefaultParagraphFont"/>
    <w:link w:val="Heading2"/>
    <w:uiPriority w:val="99"/>
    <w:locked/>
    <w:rsid w:val="00670C79"/>
    <w:rPr>
      <w:rFonts w:ascii="Times New Roman" w:hAnsi="Times New Roman" w:cs="Times New Roman"/>
      <w:sz w:val="24"/>
      <w:lang w:val="ro-RO"/>
    </w:rPr>
  </w:style>
  <w:style w:type="character" w:customStyle="1" w:styleId="Heading3Char">
    <w:name w:val="Heading 3 Char"/>
    <w:basedOn w:val="DefaultParagraphFont"/>
    <w:link w:val="Heading3"/>
    <w:uiPriority w:val="99"/>
    <w:locked/>
    <w:rsid w:val="00C01DF1"/>
    <w:rPr>
      <w:rFonts w:ascii="Calibri Light" w:hAnsi="Calibri Light" w:cs="Times New Roman"/>
      <w:b/>
      <w:color w:val="5B9BD5"/>
      <w:sz w:val="24"/>
      <w:lang w:val="ro-RO"/>
    </w:rPr>
  </w:style>
  <w:style w:type="character" w:customStyle="1" w:styleId="Heading6Char">
    <w:name w:val="Heading 6 Char"/>
    <w:basedOn w:val="DefaultParagraphFont"/>
    <w:link w:val="Heading6"/>
    <w:uiPriority w:val="99"/>
    <w:locked/>
    <w:rsid w:val="00670C79"/>
    <w:rPr>
      <w:rFonts w:ascii="Times New Roman" w:hAnsi="Times New Roman" w:cs="Times New Roman"/>
      <w:b/>
      <w:sz w:val="24"/>
      <w:lang w:val="ro-RO"/>
    </w:rPr>
  </w:style>
  <w:style w:type="paragraph" w:styleId="BodyTextIndent2">
    <w:name w:val="Body Text Indent 2"/>
    <w:basedOn w:val="Normal"/>
    <w:link w:val="BodyTextIndent2Char"/>
    <w:uiPriority w:val="99"/>
    <w:semiHidden/>
    <w:rsid w:val="00670C79"/>
    <w:pPr>
      <w:spacing w:before="120" w:after="120" w:line="360" w:lineRule="auto"/>
      <w:ind w:firstLine="357"/>
    </w:pPr>
    <w:rPr>
      <w:rFonts w:eastAsia="Calibri"/>
      <w:b/>
      <w:szCs w:val="20"/>
      <w:lang w:eastAsia="ro-RO"/>
    </w:rPr>
  </w:style>
  <w:style w:type="character" w:customStyle="1" w:styleId="BodyTextIndent2Char">
    <w:name w:val="Body Text Indent 2 Char"/>
    <w:basedOn w:val="DefaultParagraphFont"/>
    <w:link w:val="BodyTextIndent2"/>
    <w:uiPriority w:val="99"/>
    <w:semiHidden/>
    <w:locked/>
    <w:rsid w:val="00670C79"/>
    <w:rPr>
      <w:rFonts w:ascii="Times New Roman" w:hAnsi="Times New Roman" w:cs="Times New Roman"/>
      <w:b/>
      <w:sz w:val="24"/>
      <w:lang w:val="ro-RO"/>
    </w:rPr>
  </w:style>
  <w:style w:type="paragraph" w:styleId="BodyText2">
    <w:name w:val="Body Text 2"/>
    <w:basedOn w:val="Normal"/>
    <w:link w:val="BodyText2Char"/>
    <w:uiPriority w:val="99"/>
    <w:semiHidden/>
    <w:rsid w:val="00670C79"/>
    <w:pPr>
      <w:jc w:val="both"/>
    </w:pPr>
    <w:rPr>
      <w:rFonts w:eastAsia="Calibri"/>
      <w:szCs w:val="20"/>
      <w:lang w:eastAsia="ro-RO"/>
    </w:rPr>
  </w:style>
  <w:style w:type="character" w:customStyle="1" w:styleId="BodyText2Char">
    <w:name w:val="Body Text 2 Char"/>
    <w:basedOn w:val="DefaultParagraphFont"/>
    <w:link w:val="BodyText2"/>
    <w:uiPriority w:val="99"/>
    <w:semiHidden/>
    <w:locked/>
    <w:rsid w:val="00670C79"/>
    <w:rPr>
      <w:rFonts w:ascii="Times New Roman" w:hAnsi="Times New Roman" w:cs="Times New Roman"/>
      <w:sz w:val="24"/>
      <w:lang w:val="ro-RO"/>
    </w:rPr>
  </w:style>
  <w:style w:type="paragraph" w:styleId="Title">
    <w:name w:val="Title"/>
    <w:basedOn w:val="Normal"/>
    <w:link w:val="TitleChar"/>
    <w:uiPriority w:val="99"/>
    <w:qFormat/>
    <w:rsid w:val="00670C79"/>
    <w:pPr>
      <w:spacing w:line="360" w:lineRule="auto"/>
      <w:jc w:val="center"/>
    </w:pPr>
    <w:rPr>
      <w:rFonts w:eastAsia="Calibri"/>
      <w:b/>
      <w:sz w:val="32"/>
      <w:szCs w:val="20"/>
      <w:lang w:eastAsia="ro-RO"/>
    </w:rPr>
  </w:style>
  <w:style w:type="character" w:customStyle="1" w:styleId="TitleChar">
    <w:name w:val="Title Char"/>
    <w:basedOn w:val="DefaultParagraphFont"/>
    <w:link w:val="Title"/>
    <w:uiPriority w:val="99"/>
    <w:locked/>
    <w:rsid w:val="00670C79"/>
    <w:rPr>
      <w:rFonts w:ascii="Times New Roman" w:hAnsi="Times New Roman" w:cs="Times New Roman"/>
      <w:b/>
      <w:sz w:val="32"/>
      <w:lang w:val="ro-RO"/>
    </w:rPr>
  </w:style>
  <w:style w:type="paragraph" w:styleId="Footer">
    <w:name w:val="footer"/>
    <w:basedOn w:val="Normal"/>
    <w:link w:val="FooterChar"/>
    <w:uiPriority w:val="99"/>
    <w:rsid w:val="00670C79"/>
    <w:pPr>
      <w:tabs>
        <w:tab w:val="center" w:pos="4536"/>
        <w:tab w:val="right" w:pos="9072"/>
      </w:tabs>
    </w:pPr>
    <w:rPr>
      <w:rFonts w:eastAsia="Calibri"/>
      <w:szCs w:val="20"/>
      <w:lang w:eastAsia="ro-RO"/>
    </w:rPr>
  </w:style>
  <w:style w:type="character" w:customStyle="1" w:styleId="FooterChar">
    <w:name w:val="Footer Char"/>
    <w:basedOn w:val="DefaultParagraphFont"/>
    <w:link w:val="Footer"/>
    <w:uiPriority w:val="99"/>
    <w:locked/>
    <w:rsid w:val="00670C79"/>
    <w:rPr>
      <w:rFonts w:ascii="Times New Roman" w:hAnsi="Times New Roman" w:cs="Times New Roman"/>
      <w:sz w:val="24"/>
      <w:lang w:val="ro-RO"/>
    </w:rPr>
  </w:style>
  <w:style w:type="character" w:styleId="PageNumber">
    <w:name w:val="page number"/>
    <w:basedOn w:val="DefaultParagraphFont"/>
    <w:uiPriority w:val="99"/>
    <w:rsid w:val="00670C79"/>
    <w:rPr>
      <w:rFonts w:cs="Times New Roman"/>
    </w:rPr>
  </w:style>
  <w:style w:type="table" w:styleId="TableGrid">
    <w:name w:val="Table Grid"/>
    <w:basedOn w:val="TableNormal"/>
    <w:uiPriority w:val="99"/>
    <w:rsid w:val="00670C7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67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HTMLPreformattedChar">
    <w:name w:val="HTML Preformatted Char"/>
    <w:basedOn w:val="DefaultParagraphFont"/>
    <w:link w:val="HTMLPreformatted"/>
    <w:uiPriority w:val="99"/>
    <w:locked/>
    <w:rsid w:val="00670C79"/>
    <w:rPr>
      <w:rFonts w:ascii="Courier New" w:hAnsi="Courier New" w:cs="Times New Roman"/>
      <w:sz w:val="20"/>
      <w:lang w:val="ro-RO" w:eastAsia="ro-RO"/>
    </w:rPr>
  </w:style>
  <w:style w:type="paragraph" w:styleId="NoSpacing">
    <w:name w:val="No Spacing"/>
    <w:link w:val="NoSpacingChar"/>
    <w:uiPriority w:val="99"/>
    <w:qFormat/>
    <w:rsid w:val="00966D02"/>
    <w:pPr>
      <w:spacing w:after="160" w:line="259" w:lineRule="auto"/>
    </w:pPr>
    <w:rPr>
      <w:rFonts w:eastAsia="Times New Roman"/>
      <w:lang w:val="en-US" w:eastAsia="en-US"/>
    </w:rPr>
  </w:style>
  <w:style w:type="character" w:customStyle="1" w:styleId="NoSpacingChar">
    <w:name w:val="No Spacing Char"/>
    <w:link w:val="NoSpacing"/>
    <w:uiPriority w:val="99"/>
    <w:locked/>
    <w:rsid w:val="00966D02"/>
    <w:rPr>
      <w:rFonts w:eastAsia="Times New Roman"/>
      <w:sz w:val="22"/>
      <w:lang w:val="en-US" w:eastAsia="en-US"/>
    </w:rPr>
  </w:style>
  <w:style w:type="paragraph" w:styleId="BalloonText">
    <w:name w:val="Balloon Text"/>
    <w:basedOn w:val="Normal"/>
    <w:link w:val="BalloonTextChar"/>
    <w:uiPriority w:val="99"/>
    <w:semiHidden/>
    <w:rsid w:val="00BA4E0F"/>
    <w:rPr>
      <w:rFonts w:ascii="Tahoma" w:eastAsia="Calibri" w:hAnsi="Tahoma"/>
      <w:sz w:val="16"/>
      <w:szCs w:val="20"/>
      <w:lang w:eastAsia="ro-RO"/>
    </w:rPr>
  </w:style>
  <w:style w:type="character" w:customStyle="1" w:styleId="BalloonTextChar">
    <w:name w:val="Balloon Text Char"/>
    <w:basedOn w:val="DefaultParagraphFont"/>
    <w:link w:val="BalloonText"/>
    <w:uiPriority w:val="99"/>
    <w:semiHidden/>
    <w:locked/>
    <w:rsid w:val="00BA4E0F"/>
    <w:rPr>
      <w:rFonts w:ascii="Tahoma" w:hAnsi="Tahoma" w:cs="Times New Roman"/>
      <w:sz w:val="16"/>
      <w:lang w:val="ro-RO"/>
    </w:rPr>
  </w:style>
  <w:style w:type="character" w:styleId="CommentReference">
    <w:name w:val="annotation reference"/>
    <w:basedOn w:val="DefaultParagraphFont"/>
    <w:uiPriority w:val="99"/>
    <w:rsid w:val="00CE7B3A"/>
    <w:rPr>
      <w:rFonts w:cs="Times New Roman"/>
      <w:sz w:val="16"/>
    </w:rPr>
  </w:style>
  <w:style w:type="paragraph" w:styleId="CommentText">
    <w:name w:val="annotation text"/>
    <w:basedOn w:val="Normal"/>
    <w:link w:val="CommentTextChar"/>
    <w:uiPriority w:val="99"/>
    <w:rsid w:val="00CE7B3A"/>
    <w:rPr>
      <w:rFonts w:eastAsia="Calibri"/>
      <w:sz w:val="20"/>
      <w:szCs w:val="20"/>
      <w:lang w:eastAsia="ro-RO"/>
    </w:rPr>
  </w:style>
  <w:style w:type="character" w:customStyle="1" w:styleId="CommentTextChar">
    <w:name w:val="Comment Text Char"/>
    <w:basedOn w:val="DefaultParagraphFont"/>
    <w:link w:val="CommentText"/>
    <w:uiPriority w:val="99"/>
    <w:locked/>
    <w:rsid w:val="00CE7B3A"/>
    <w:rPr>
      <w:rFonts w:ascii="Times New Roman" w:hAnsi="Times New Roman" w:cs="Times New Roman"/>
      <w:sz w:val="20"/>
      <w:lang w:val="ro-RO"/>
    </w:rPr>
  </w:style>
  <w:style w:type="paragraph" w:styleId="CommentSubject">
    <w:name w:val="annotation subject"/>
    <w:basedOn w:val="CommentText"/>
    <w:next w:val="CommentText"/>
    <w:link w:val="CommentSubjectChar"/>
    <w:uiPriority w:val="99"/>
    <w:semiHidden/>
    <w:rsid w:val="00CE7B3A"/>
    <w:rPr>
      <w:b/>
    </w:rPr>
  </w:style>
  <w:style w:type="character" w:customStyle="1" w:styleId="CommentSubjectChar">
    <w:name w:val="Comment Subject Char"/>
    <w:basedOn w:val="CommentTextChar"/>
    <w:link w:val="CommentSubject"/>
    <w:uiPriority w:val="99"/>
    <w:semiHidden/>
    <w:locked/>
    <w:rsid w:val="00CE7B3A"/>
    <w:rPr>
      <w:rFonts w:ascii="Times New Roman" w:hAnsi="Times New Roman" w:cs="Times New Roman"/>
      <w:b/>
      <w:sz w:val="20"/>
      <w:lang w:val="ro-RO"/>
    </w:rPr>
  </w:style>
  <w:style w:type="paragraph" w:styleId="ListParagraph">
    <w:name w:val="List Paragraph"/>
    <w:aliases w:val="Normal bullet 2,List Paragraph1,List1,body 2,List Paragraph11,Listă colorată - Accentuare 11,Bullet,Citation List,Forth level"/>
    <w:basedOn w:val="Normal"/>
    <w:link w:val="ListParagraphChar"/>
    <w:uiPriority w:val="34"/>
    <w:qFormat/>
    <w:rsid w:val="00CD681E"/>
    <w:pPr>
      <w:ind w:left="720"/>
      <w:contextualSpacing/>
    </w:pPr>
    <w:rPr>
      <w:rFonts w:ascii="Calibri" w:eastAsia="Calibri" w:hAnsi="Calibri"/>
      <w:szCs w:val="20"/>
      <w:lang w:eastAsia="ro-RO"/>
    </w:rPr>
  </w:style>
  <w:style w:type="character" w:customStyle="1" w:styleId="ListParagraphChar">
    <w:name w:val="List Paragraph Char"/>
    <w:aliases w:val="Normal bullet 2 Char,List Paragraph1 Char,List1 Char,body 2 Char,List Paragraph11 Char,Listă colorată - Accentuare 11 Char,Bullet Char,Citation List Char,Forth level Char"/>
    <w:link w:val="ListParagraph"/>
    <w:uiPriority w:val="34"/>
    <w:locked/>
    <w:rsid w:val="009B71DC"/>
    <w:rPr>
      <w:sz w:val="24"/>
      <w:lang w:val="ro-RO"/>
    </w:rPr>
  </w:style>
  <w:style w:type="character" w:customStyle="1" w:styleId="ColorfulList-Accent1Char">
    <w:name w:val="Colorful List - Accent 1 Char"/>
    <w:link w:val="ColorfulList-Accent1"/>
    <w:uiPriority w:val="99"/>
    <w:locked/>
    <w:rsid w:val="009B71DC"/>
    <w:rPr>
      <w:noProof/>
      <w:sz w:val="24"/>
      <w:lang w:val="ro-RO"/>
    </w:rPr>
  </w:style>
  <w:style w:type="table" w:styleId="ColorfulList-Accent1">
    <w:name w:val="Colorful List Accent 1"/>
    <w:basedOn w:val="TableNormal"/>
    <w:link w:val="ColorfulList-Accent1Char"/>
    <w:uiPriority w:val="99"/>
    <w:rsid w:val="009B71DC"/>
    <w:rPr>
      <w:sz w:val="24"/>
      <w:szCs w:val="20"/>
    </w:rPr>
    <w:tblPr>
      <w:tblStyleRowBandSize w:val="1"/>
      <w:tblStyleColBandSize w:val="1"/>
    </w:tblPr>
    <w:tcPr>
      <w:shd w:val="clear" w:color="auto" w:fill="EEF5FB"/>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styleId="Header">
    <w:name w:val="header"/>
    <w:basedOn w:val="Normal"/>
    <w:link w:val="HeaderChar"/>
    <w:uiPriority w:val="99"/>
    <w:rsid w:val="00BA47F0"/>
    <w:pPr>
      <w:tabs>
        <w:tab w:val="center" w:pos="4536"/>
        <w:tab w:val="right" w:pos="9072"/>
      </w:tabs>
    </w:pPr>
    <w:rPr>
      <w:rFonts w:eastAsia="Calibri"/>
      <w:szCs w:val="20"/>
      <w:lang w:eastAsia="ro-RO"/>
    </w:rPr>
  </w:style>
  <w:style w:type="character" w:customStyle="1" w:styleId="HeaderChar">
    <w:name w:val="Header Char"/>
    <w:basedOn w:val="DefaultParagraphFont"/>
    <w:link w:val="Header"/>
    <w:uiPriority w:val="99"/>
    <w:locked/>
    <w:rsid w:val="00BA47F0"/>
    <w:rPr>
      <w:rFonts w:ascii="Times New Roman" w:hAnsi="Times New Roman" w:cs="Times New Roman"/>
      <w:sz w:val="24"/>
      <w:lang w:val="ro-RO"/>
    </w:rPr>
  </w:style>
  <w:style w:type="character" w:customStyle="1" w:styleId="panchor">
    <w:name w:val="panchor"/>
    <w:uiPriority w:val="99"/>
    <w:rsid w:val="00161A61"/>
  </w:style>
  <w:style w:type="character" w:styleId="Hyperlink">
    <w:name w:val="Hyperlink"/>
    <w:basedOn w:val="DefaultParagraphFont"/>
    <w:uiPriority w:val="99"/>
    <w:rsid w:val="001B7961"/>
    <w:rPr>
      <w:rFonts w:cs="Times New Roman"/>
      <w:color w:val="0000FF"/>
      <w:u w:val="single"/>
    </w:rPr>
  </w:style>
  <w:style w:type="character" w:customStyle="1" w:styleId="slgi">
    <w:name w:val="s_lgi"/>
    <w:uiPriority w:val="99"/>
    <w:rsid w:val="00EF067B"/>
  </w:style>
  <w:style w:type="paragraph" w:styleId="Revision">
    <w:name w:val="Revision"/>
    <w:hidden/>
    <w:uiPriority w:val="99"/>
    <w:semiHidden/>
    <w:rsid w:val="00E51892"/>
    <w:rPr>
      <w:rFonts w:ascii="Times New Roman" w:eastAsia="Times New Roman" w:hAnsi="Times New Roman"/>
      <w:sz w:val="24"/>
      <w:szCs w:val="24"/>
      <w:lang w:eastAsia="en-US"/>
    </w:rPr>
  </w:style>
  <w:style w:type="table" w:customStyle="1" w:styleId="TableGrid1">
    <w:name w:val="Table Grid1"/>
    <w:uiPriority w:val="99"/>
    <w:rsid w:val="00357FC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rsid w:val="009561EC"/>
    <w:rPr>
      <w:color w:val="605E5C"/>
      <w:shd w:val="clear" w:color="auto" w:fill="E1DFDD"/>
    </w:rPr>
  </w:style>
  <w:style w:type="paragraph" w:customStyle="1" w:styleId="Default">
    <w:name w:val="Default"/>
    <w:rsid w:val="00406B07"/>
    <w:pPr>
      <w:autoSpaceDE w:val="0"/>
      <w:autoSpaceDN w:val="0"/>
      <w:adjustRightInd w:val="0"/>
    </w:pPr>
    <w:rPr>
      <w:rFonts w:ascii="EUAlbertina" w:hAnsi="EUAlbertina" w:cs="EUAlbertina"/>
      <w:color w:val="000000"/>
      <w:sz w:val="24"/>
      <w:szCs w:val="24"/>
      <w:lang w:val="en-US" w:eastAsia="en-US"/>
    </w:rPr>
  </w:style>
  <w:style w:type="character" w:customStyle="1" w:styleId="spar">
    <w:name w:val="s_par"/>
    <w:uiPriority w:val="99"/>
    <w:rsid w:val="00CC15AA"/>
  </w:style>
  <w:style w:type="character" w:customStyle="1" w:styleId="slitbdy">
    <w:name w:val="s_lit_bdy"/>
    <w:uiPriority w:val="99"/>
    <w:rsid w:val="00840369"/>
  </w:style>
  <w:style w:type="character" w:customStyle="1" w:styleId="salnbdy">
    <w:name w:val="s_aln_bdy"/>
    <w:uiPriority w:val="99"/>
    <w:rsid w:val="00840369"/>
  </w:style>
  <w:style w:type="character" w:customStyle="1" w:styleId="saln">
    <w:name w:val="s_aln"/>
    <w:uiPriority w:val="99"/>
    <w:rsid w:val="000E53DE"/>
  </w:style>
  <w:style w:type="character" w:customStyle="1" w:styleId="salnttl">
    <w:name w:val="s_aln_ttl"/>
    <w:uiPriority w:val="99"/>
    <w:rsid w:val="000E53DE"/>
  </w:style>
  <w:style w:type="character" w:customStyle="1" w:styleId="slit">
    <w:name w:val="s_lit"/>
    <w:uiPriority w:val="99"/>
    <w:rsid w:val="00EA4074"/>
  </w:style>
  <w:style w:type="character" w:customStyle="1" w:styleId="slitttl">
    <w:name w:val="s_lit_ttl"/>
    <w:uiPriority w:val="99"/>
    <w:rsid w:val="00EA4074"/>
  </w:style>
  <w:style w:type="paragraph" w:styleId="NormalWeb">
    <w:name w:val="Normal (Web)"/>
    <w:basedOn w:val="Normal"/>
    <w:uiPriority w:val="99"/>
    <w:semiHidden/>
    <w:unhideWhenUsed/>
    <w:rsid w:val="00CD2BDC"/>
    <w:pPr>
      <w:spacing w:before="100" w:beforeAutospacing="1" w:after="100" w:afterAutospacing="1"/>
    </w:pPr>
    <w:rPr>
      <w:lang w:val="en-US"/>
    </w:rPr>
  </w:style>
  <w:style w:type="paragraph" w:customStyle="1" w:styleId="Body">
    <w:name w:val="Body"/>
    <w:rsid w:val="00EF51F3"/>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eastAsia="Arial Unicode MS" w:cs="Arial Unicode MS"/>
      <w:color w:val="000000"/>
      <w:lang w:val="en-US" w:eastAsia="en-US" w:bidi="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0675">
      <w:marLeft w:val="0"/>
      <w:marRight w:val="0"/>
      <w:marTop w:val="0"/>
      <w:marBottom w:val="0"/>
      <w:divBdr>
        <w:top w:val="none" w:sz="0" w:space="0" w:color="auto"/>
        <w:left w:val="none" w:sz="0" w:space="0" w:color="auto"/>
        <w:bottom w:val="none" w:sz="0" w:space="0" w:color="auto"/>
        <w:right w:val="none" w:sz="0" w:space="0" w:color="auto"/>
      </w:divBdr>
    </w:div>
    <w:div w:id="94520676">
      <w:marLeft w:val="0"/>
      <w:marRight w:val="0"/>
      <w:marTop w:val="0"/>
      <w:marBottom w:val="0"/>
      <w:divBdr>
        <w:top w:val="none" w:sz="0" w:space="0" w:color="auto"/>
        <w:left w:val="none" w:sz="0" w:space="0" w:color="auto"/>
        <w:bottom w:val="none" w:sz="0" w:space="0" w:color="auto"/>
        <w:right w:val="none" w:sz="0" w:space="0" w:color="auto"/>
      </w:divBdr>
    </w:div>
    <w:div w:id="94520677">
      <w:marLeft w:val="0"/>
      <w:marRight w:val="0"/>
      <w:marTop w:val="0"/>
      <w:marBottom w:val="0"/>
      <w:divBdr>
        <w:top w:val="none" w:sz="0" w:space="0" w:color="auto"/>
        <w:left w:val="none" w:sz="0" w:space="0" w:color="auto"/>
        <w:bottom w:val="none" w:sz="0" w:space="0" w:color="auto"/>
        <w:right w:val="none" w:sz="0" w:space="0" w:color="auto"/>
      </w:divBdr>
    </w:div>
    <w:div w:id="94520678">
      <w:marLeft w:val="0"/>
      <w:marRight w:val="0"/>
      <w:marTop w:val="0"/>
      <w:marBottom w:val="0"/>
      <w:divBdr>
        <w:top w:val="none" w:sz="0" w:space="0" w:color="auto"/>
        <w:left w:val="none" w:sz="0" w:space="0" w:color="auto"/>
        <w:bottom w:val="none" w:sz="0" w:space="0" w:color="auto"/>
        <w:right w:val="none" w:sz="0" w:space="0" w:color="auto"/>
      </w:divBdr>
    </w:div>
    <w:div w:id="94520679">
      <w:marLeft w:val="0"/>
      <w:marRight w:val="0"/>
      <w:marTop w:val="0"/>
      <w:marBottom w:val="0"/>
      <w:divBdr>
        <w:top w:val="none" w:sz="0" w:space="0" w:color="auto"/>
        <w:left w:val="none" w:sz="0" w:space="0" w:color="auto"/>
        <w:bottom w:val="none" w:sz="0" w:space="0" w:color="auto"/>
        <w:right w:val="none" w:sz="0" w:space="0" w:color="auto"/>
      </w:divBdr>
    </w:div>
    <w:div w:id="94520680">
      <w:marLeft w:val="0"/>
      <w:marRight w:val="0"/>
      <w:marTop w:val="0"/>
      <w:marBottom w:val="0"/>
      <w:divBdr>
        <w:top w:val="none" w:sz="0" w:space="0" w:color="auto"/>
        <w:left w:val="none" w:sz="0" w:space="0" w:color="auto"/>
        <w:bottom w:val="none" w:sz="0" w:space="0" w:color="auto"/>
        <w:right w:val="none" w:sz="0" w:space="0" w:color="auto"/>
      </w:divBdr>
    </w:div>
    <w:div w:id="94520681">
      <w:marLeft w:val="0"/>
      <w:marRight w:val="0"/>
      <w:marTop w:val="0"/>
      <w:marBottom w:val="0"/>
      <w:divBdr>
        <w:top w:val="none" w:sz="0" w:space="0" w:color="auto"/>
        <w:left w:val="none" w:sz="0" w:space="0" w:color="auto"/>
        <w:bottom w:val="none" w:sz="0" w:space="0" w:color="auto"/>
        <w:right w:val="none" w:sz="0" w:space="0" w:color="auto"/>
      </w:divBdr>
    </w:div>
    <w:div w:id="94520682">
      <w:marLeft w:val="0"/>
      <w:marRight w:val="0"/>
      <w:marTop w:val="0"/>
      <w:marBottom w:val="0"/>
      <w:divBdr>
        <w:top w:val="none" w:sz="0" w:space="0" w:color="auto"/>
        <w:left w:val="none" w:sz="0" w:space="0" w:color="auto"/>
        <w:bottom w:val="none" w:sz="0" w:space="0" w:color="auto"/>
        <w:right w:val="none" w:sz="0" w:space="0" w:color="auto"/>
      </w:divBdr>
    </w:div>
    <w:div w:id="94520683">
      <w:marLeft w:val="0"/>
      <w:marRight w:val="0"/>
      <w:marTop w:val="0"/>
      <w:marBottom w:val="0"/>
      <w:divBdr>
        <w:top w:val="none" w:sz="0" w:space="0" w:color="auto"/>
        <w:left w:val="none" w:sz="0" w:space="0" w:color="auto"/>
        <w:bottom w:val="none" w:sz="0" w:space="0" w:color="auto"/>
        <w:right w:val="none" w:sz="0" w:space="0" w:color="auto"/>
      </w:divBdr>
    </w:div>
    <w:div w:id="94520684">
      <w:marLeft w:val="0"/>
      <w:marRight w:val="0"/>
      <w:marTop w:val="0"/>
      <w:marBottom w:val="0"/>
      <w:divBdr>
        <w:top w:val="none" w:sz="0" w:space="0" w:color="auto"/>
        <w:left w:val="none" w:sz="0" w:space="0" w:color="auto"/>
        <w:bottom w:val="none" w:sz="0" w:space="0" w:color="auto"/>
        <w:right w:val="none" w:sz="0" w:space="0" w:color="auto"/>
      </w:divBdr>
    </w:div>
    <w:div w:id="94520685">
      <w:marLeft w:val="0"/>
      <w:marRight w:val="0"/>
      <w:marTop w:val="0"/>
      <w:marBottom w:val="0"/>
      <w:divBdr>
        <w:top w:val="none" w:sz="0" w:space="0" w:color="auto"/>
        <w:left w:val="none" w:sz="0" w:space="0" w:color="auto"/>
        <w:bottom w:val="none" w:sz="0" w:space="0" w:color="auto"/>
        <w:right w:val="none" w:sz="0" w:space="0" w:color="auto"/>
      </w:divBdr>
    </w:div>
    <w:div w:id="94520686">
      <w:marLeft w:val="0"/>
      <w:marRight w:val="0"/>
      <w:marTop w:val="0"/>
      <w:marBottom w:val="0"/>
      <w:divBdr>
        <w:top w:val="none" w:sz="0" w:space="0" w:color="auto"/>
        <w:left w:val="none" w:sz="0" w:space="0" w:color="auto"/>
        <w:bottom w:val="none" w:sz="0" w:space="0" w:color="auto"/>
        <w:right w:val="none" w:sz="0" w:space="0" w:color="auto"/>
      </w:divBdr>
    </w:div>
    <w:div w:id="94520687">
      <w:marLeft w:val="0"/>
      <w:marRight w:val="0"/>
      <w:marTop w:val="0"/>
      <w:marBottom w:val="0"/>
      <w:divBdr>
        <w:top w:val="none" w:sz="0" w:space="0" w:color="auto"/>
        <w:left w:val="none" w:sz="0" w:space="0" w:color="auto"/>
        <w:bottom w:val="none" w:sz="0" w:space="0" w:color="auto"/>
        <w:right w:val="none" w:sz="0" w:space="0" w:color="auto"/>
      </w:divBdr>
    </w:div>
    <w:div w:id="94520688">
      <w:marLeft w:val="0"/>
      <w:marRight w:val="0"/>
      <w:marTop w:val="0"/>
      <w:marBottom w:val="0"/>
      <w:divBdr>
        <w:top w:val="none" w:sz="0" w:space="0" w:color="auto"/>
        <w:left w:val="none" w:sz="0" w:space="0" w:color="auto"/>
        <w:bottom w:val="none" w:sz="0" w:space="0" w:color="auto"/>
        <w:right w:val="none" w:sz="0" w:space="0" w:color="auto"/>
      </w:divBdr>
    </w:div>
    <w:div w:id="94520689">
      <w:marLeft w:val="0"/>
      <w:marRight w:val="0"/>
      <w:marTop w:val="0"/>
      <w:marBottom w:val="0"/>
      <w:divBdr>
        <w:top w:val="none" w:sz="0" w:space="0" w:color="auto"/>
        <w:left w:val="none" w:sz="0" w:space="0" w:color="auto"/>
        <w:bottom w:val="none" w:sz="0" w:space="0" w:color="auto"/>
        <w:right w:val="none" w:sz="0" w:space="0" w:color="auto"/>
      </w:divBdr>
    </w:div>
    <w:div w:id="94520690">
      <w:marLeft w:val="0"/>
      <w:marRight w:val="0"/>
      <w:marTop w:val="0"/>
      <w:marBottom w:val="0"/>
      <w:divBdr>
        <w:top w:val="none" w:sz="0" w:space="0" w:color="auto"/>
        <w:left w:val="none" w:sz="0" w:space="0" w:color="auto"/>
        <w:bottom w:val="none" w:sz="0" w:space="0" w:color="auto"/>
        <w:right w:val="none" w:sz="0" w:space="0" w:color="auto"/>
      </w:divBdr>
    </w:div>
    <w:div w:id="94520691">
      <w:marLeft w:val="0"/>
      <w:marRight w:val="0"/>
      <w:marTop w:val="0"/>
      <w:marBottom w:val="0"/>
      <w:divBdr>
        <w:top w:val="none" w:sz="0" w:space="0" w:color="auto"/>
        <w:left w:val="none" w:sz="0" w:space="0" w:color="auto"/>
        <w:bottom w:val="none" w:sz="0" w:space="0" w:color="auto"/>
        <w:right w:val="none" w:sz="0" w:space="0" w:color="auto"/>
      </w:divBdr>
    </w:div>
    <w:div w:id="94520692">
      <w:marLeft w:val="0"/>
      <w:marRight w:val="0"/>
      <w:marTop w:val="0"/>
      <w:marBottom w:val="0"/>
      <w:divBdr>
        <w:top w:val="none" w:sz="0" w:space="0" w:color="auto"/>
        <w:left w:val="none" w:sz="0" w:space="0" w:color="auto"/>
        <w:bottom w:val="none" w:sz="0" w:space="0" w:color="auto"/>
        <w:right w:val="none" w:sz="0" w:space="0" w:color="auto"/>
      </w:divBdr>
    </w:div>
    <w:div w:id="94520693">
      <w:marLeft w:val="0"/>
      <w:marRight w:val="0"/>
      <w:marTop w:val="0"/>
      <w:marBottom w:val="0"/>
      <w:divBdr>
        <w:top w:val="none" w:sz="0" w:space="0" w:color="auto"/>
        <w:left w:val="none" w:sz="0" w:space="0" w:color="auto"/>
        <w:bottom w:val="none" w:sz="0" w:space="0" w:color="auto"/>
        <w:right w:val="none" w:sz="0" w:space="0" w:color="auto"/>
      </w:divBdr>
    </w:div>
    <w:div w:id="94520694">
      <w:marLeft w:val="0"/>
      <w:marRight w:val="0"/>
      <w:marTop w:val="0"/>
      <w:marBottom w:val="0"/>
      <w:divBdr>
        <w:top w:val="none" w:sz="0" w:space="0" w:color="auto"/>
        <w:left w:val="none" w:sz="0" w:space="0" w:color="auto"/>
        <w:bottom w:val="none" w:sz="0" w:space="0" w:color="auto"/>
        <w:right w:val="none" w:sz="0" w:space="0" w:color="auto"/>
      </w:divBdr>
    </w:div>
    <w:div w:id="94520695">
      <w:marLeft w:val="0"/>
      <w:marRight w:val="0"/>
      <w:marTop w:val="0"/>
      <w:marBottom w:val="0"/>
      <w:divBdr>
        <w:top w:val="none" w:sz="0" w:space="0" w:color="auto"/>
        <w:left w:val="none" w:sz="0" w:space="0" w:color="auto"/>
        <w:bottom w:val="none" w:sz="0" w:space="0" w:color="auto"/>
        <w:right w:val="none" w:sz="0" w:space="0" w:color="auto"/>
      </w:divBdr>
    </w:div>
    <w:div w:id="94520696">
      <w:marLeft w:val="0"/>
      <w:marRight w:val="0"/>
      <w:marTop w:val="0"/>
      <w:marBottom w:val="0"/>
      <w:divBdr>
        <w:top w:val="none" w:sz="0" w:space="0" w:color="auto"/>
        <w:left w:val="none" w:sz="0" w:space="0" w:color="auto"/>
        <w:bottom w:val="none" w:sz="0" w:space="0" w:color="auto"/>
        <w:right w:val="none" w:sz="0" w:space="0" w:color="auto"/>
      </w:divBdr>
    </w:div>
    <w:div w:id="94520697">
      <w:marLeft w:val="0"/>
      <w:marRight w:val="0"/>
      <w:marTop w:val="0"/>
      <w:marBottom w:val="0"/>
      <w:divBdr>
        <w:top w:val="none" w:sz="0" w:space="0" w:color="auto"/>
        <w:left w:val="none" w:sz="0" w:space="0" w:color="auto"/>
        <w:bottom w:val="none" w:sz="0" w:space="0" w:color="auto"/>
        <w:right w:val="none" w:sz="0" w:space="0" w:color="auto"/>
      </w:divBdr>
    </w:div>
    <w:div w:id="94520698">
      <w:marLeft w:val="0"/>
      <w:marRight w:val="0"/>
      <w:marTop w:val="0"/>
      <w:marBottom w:val="0"/>
      <w:divBdr>
        <w:top w:val="none" w:sz="0" w:space="0" w:color="auto"/>
        <w:left w:val="none" w:sz="0" w:space="0" w:color="auto"/>
        <w:bottom w:val="none" w:sz="0" w:space="0" w:color="auto"/>
        <w:right w:val="none" w:sz="0" w:space="0" w:color="auto"/>
      </w:divBdr>
    </w:div>
    <w:div w:id="94520699">
      <w:marLeft w:val="0"/>
      <w:marRight w:val="0"/>
      <w:marTop w:val="0"/>
      <w:marBottom w:val="0"/>
      <w:divBdr>
        <w:top w:val="none" w:sz="0" w:space="0" w:color="auto"/>
        <w:left w:val="none" w:sz="0" w:space="0" w:color="auto"/>
        <w:bottom w:val="none" w:sz="0" w:space="0" w:color="auto"/>
        <w:right w:val="none" w:sz="0" w:space="0" w:color="auto"/>
      </w:divBdr>
    </w:div>
    <w:div w:id="94520700">
      <w:marLeft w:val="0"/>
      <w:marRight w:val="0"/>
      <w:marTop w:val="0"/>
      <w:marBottom w:val="0"/>
      <w:divBdr>
        <w:top w:val="none" w:sz="0" w:space="0" w:color="auto"/>
        <w:left w:val="none" w:sz="0" w:space="0" w:color="auto"/>
        <w:bottom w:val="none" w:sz="0" w:space="0" w:color="auto"/>
        <w:right w:val="none" w:sz="0" w:space="0" w:color="auto"/>
      </w:divBdr>
    </w:div>
    <w:div w:id="94520701">
      <w:marLeft w:val="0"/>
      <w:marRight w:val="0"/>
      <w:marTop w:val="0"/>
      <w:marBottom w:val="0"/>
      <w:divBdr>
        <w:top w:val="none" w:sz="0" w:space="0" w:color="auto"/>
        <w:left w:val="none" w:sz="0" w:space="0" w:color="auto"/>
        <w:bottom w:val="none" w:sz="0" w:space="0" w:color="auto"/>
        <w:right w:val="none" w:sz="0" w:space="0" w:color="auto"/>
      </w:divBdr>
    </w:div>
    <w:div w:id="94520702">
      <w:marLeft w:val="0"/>
      <w:marRight w:val="0"/>
      <w:marTop w:val="0"/>
      <w:marBottom w:val="0"/>
      <w:divBdr>
        <w:top w:val="none" w:sz="0" w:space="0" w:color="auto"/>
        <w:left w:val="none" w:sz="0" w:space="0" w:color="auto"/>
        <w:bottom w:val="none" w:sz="0" w:space="0" w:color="auto"/>
        <w:right w:val="none" w:sz="0" w:space="0" w:color="auto"/>
      </w:divBdr>
    </w:div>
    <w:div w:id="94520703">
      <w:marLeft w:val="0"/>
      <w:marRight w:val="0"/>
      <w:marTop w:val="0"/>
      <w:marBottom w:val="0"/>
      <w:divBdr>
        <w:top w:val="none" w:sz="0" w:space="0" w:color="auto"/>
        <w:left w:val="none" w:sz="0" w:space="0" w:color="auto"/>
        <w:bottom w:val="none" w:sz="0" w:space="0" w:color="auto"/>
        <w:right w:val="none" w:sz="0" w:space="0" w:color="auto"/>
      </w:divBdr>
    </w:div>
    <w:div w:id="94520704">
      <w:marLeft w:val="0"/>
      <w:marRight w:val="0"/>
      <w:marTop w:val="0"/>
      <w:marBottom w:val="0"/>
      <w:divBdr>
        <w:top w:val="none" w:sz="0" w:space="0" w:color="auto"/>
        <w:left w:val="none" w:sz="0" w:space="0" w:color="auto"/>
        <w:bottom w:val="none" w:sz="0" w:space="0" w:color="auto"/>
        <w:right w:val="none" w:sz="0" w:space="0" w:color="auto"/>
      </w:divBdr>
    </w:div>
    <w:div w:id="94520705">
      <w:marLeft w:val="0"/>
      <w:marRight w:val="0"/>
      <w:marTop w:val="0"/>
      <w:marBottom w:val="0"/>
      <w:divBdr>
        <w:top w:val="none" w:sz="0" w:space="0" w:color="auto"/>
        <w:left w:val="none" w:sz="0" w:space="0" w:color="auto"/>
        <w:bottom w:val="none" w:sz="0" w:space="0" w:color="auto"/>
        <w:right w:val="none" w:sz="0" w:space="0" w:color="auto"/>
      </w:divBdr>
    </w:div>
    <w:div w:id="94520706">
      <w:marLeft w:val="0"/>
      <w:marRight w:val="0"/>
      <w:marTop w:val="0"/>
      <w:marBottom w:val="0"/>
      <w:divBdr>
        <w:top w:val="none" w:sz="0" w:space="0" w:color="auto"/>
        <w:left w:val="none" w:sz="0" w:space="0" w:color="auto"/>
        <w:bottom w:val="none" w:sz="0" w:space="0" w:color="auto"/>
        <w:right w:val="none" w:sz="0" w:space="0" w:color="auto"/>
      </w:divBdr>
    </w:div>
    <w:div w:id="94520707">
      <w:marLeft w:val="0"/>
      <w:marRight w:val="0"/>
      <w:marTop w:val="0"/>
      <w:marBottom w:val="0"/>
      <w:divBdr>
        <w:top w:val="none" w:sz="0" w:space="0" w:color="auto"/>
        <w:left w:val="none" w:sz="0" w:space="0" w:color="auto"/>
        <w:bottom w:val="none" w:sz="0" w:space="0" w:color="auto"/>
        <w:right w:val="none" w:sz="0" w:space="0" w:color="auto"/>
      </w:divBdr>
    </w:div>
    <w:div w:id="94520708">
      <w:marLeft w:val="0"/>
      <w:marRight w:val="0"/>
      <w:marTop w:val="0"/>
      <w:marBottom w:val="0"/>
      <w:divBdr>
        <w:top w:val="none" w:sz="0" w:space="0" w:color="auto"/>
        <w:left w:val="none" w:sz="0" w:space="0" w:color="auto"/>
        <w:bottom w:val="none" w:sz="0" w:space="0" w:color="auto"/>
        <w:right w:val="none" w:sz="0" w:space="0" w:color="auto"/>
      </w:divBdr>
    </w:div>
    <w:div w:id="94520709">
      <w:marLeft w:val="0"/>
      <w:marRight w:val="0"/>
      <w:marTop w:val="0"/>
      <w:marBottom w:val="0"/>
      <w:divBdr>
        <w:top w:val="none" w:sz="0" w:space="0" w:color="auto"/>
        <w:left w:val="none" w:sz="0" w:space="0" w:color="auto"/>
        <w:bottom w:val="none" w:sz="0" w:space="0" w:color="auto"/>
        <w:right w:val="none" w:sz="0" w:space="0" w:color="auto"/>
      </w:divBdr>
    </w:div>
    <w:div w:id="94520710">
      <w:marLeft w:val="0"/>
      <w:marRight w:val="0"/>
      <w:marTop w:val="0"/>
      <w:marBottom w:val="0"/>
      <w:divBdr>
        <w:top w:val="none" w:sz="0" w:space="0" w:color="auto"/>
        <w:left w:val="none" w:sz="0" w:space="0" w:color="auto"/>
        <w:bottom w:val="none" w:sz="0" w:space="0" w:color="auto"/>
        <w:right w:val="none" w:sz="0" w:space="0" w:color="auto"/>
      </w:divBdr>
    </w:div>
    <w:div w:id="94520711">
      <w:marLeft w:val="0"/>
      <w:marRight w:val="0"/>
      <w:marTop w:val="0"/>
      <w:marBottom w:val="0"/>
      <w:divBdr>
        <w:top w:val="none" w:sz="0" w:space="0" w:color="auto"/>
        <w:left w:val="none" w:sz="0" w:space="0" w:color="auto"/>
        <w:bottom w:val="none" w:sz="0" w:space="0" w:color="auto"/>
        <w:right w:val="none" w:sz="0" w:space="0" w:color="auto"/>
      </w:divBdr>
    </w:div>
    <w:div w:id="94520712">
      <w:marLeft w:val="0"/>
      <w:marRight w:val="0"/>
      <w:marTop w:val="0"/>
      <w:marBottom w:val="0"/>
      <w:divBdr>
        <w:top w:val="none" w:sz="0" w:space="0" w:color="auto"/>
        <w:left w:val="none" w:sz="0" w:space="0" w:color="auto"/>
        <w:bottom w:val="none" w:sz="0" w:space="0" w:color="auto"/>
        <w:right w:val="none" w:sz="0" w:space="0" w:color="auto"/>
      </w:divBdr>
    </w:div>
    <w:div w:id="100687352">
      <w:bodyDiv w:val="1"/>
      <w:marLeft w:val="0"/>
      <w:marRight w:val="0"/>
      <w:marTop w:val="0"/>
      <w:marBottom w:val="0"/>
      <w:divBdr>
        <w:top w:val="none" w:sz="0" w:space="0" w:color="auto"/>
        <w:left w:val="none" w:sz="0" w:space="0" w:color="auto"/>
        <w:bottom w:val="none" w:sz="0" w:space="0" w:color="auto"/>
        <w:right w:val="none" w:sz="0" w:space="0" w:color="auto"/>
      </w:divBdr>
      <w:divsChild>
        <w:div w:id="2104180176">
          <w:marLeft w:val="0"/>
          <w:marRight w:val="0"/>
          <w:marTop w:val="0"/>
          <w:marBottom w:val="0"/>
          <w:divBdr>
            <w:top w:val="none" w:sz="0" w:space="0" w:color="auto"/>
            <w:left w:val="none" w:sz="0" w:space="0" w:color="auto"/>
            <w:bottom w:val="none" w:sz="0" w:space="0" w:color="auto"/>
            <w:right w:val="none" w:sz="0" w:space="0" w:color="auto"/>
          </w:divBdr>
        </w:div>
        <w:div w:id="1892033096">
          <w:marLeft w:val="0"/>
          <w:marRight w:val="0"/>
          <w:marTop w:val="0"/>
          <w:marBottom w:val="0"/>
          <w:divBdr>
            <w:top w:val="none" w:sz="0" w:space="0" w:color="auto"/>
            <w:left w:val="none" w:sz="0" w:space="0" w:color="auto"/>
            <w:bottom w:val="none" w:sz="0" w:space="0" w:color="auto"/>
            <w:right w:val="none" w:sz="0" w:space="0" w:color="auto"/>
          </w:divBdr>
        </w:div>
        <w:div w:id="1088775667">
          <w:marLeft w:val="0"/>
          <w:marRight w:val="0"/>
          <w:marTop w:val="0"/>
          <w:marBottom w:val="0"/>
          <w:divBdr>
            <w:top w:val="none" w:sz="0" w:space="0" w:color="auto"/>
            <w:left w:val="none" w:sz="0" w:space="0" w:color="auto"/>
            <w:bottom w:val="none" w:sz="0" w:space="0" w:color="auto"/>
            <w:right w:val="none" w:sz="0" w:space="0" w:color="auto"/>
          </w:divBdr>
        </w:div>
        <w:div w:id="838499774">
          <w:marLeft w:val="0"/>
          <w:marRight w:val="0"/>
          <w:marTop w:val="0"/>
          <w:marBottom w:val="0"/>
          <w:divBdr>
            <w:top w:val="none" w:sz="0" w:space="0" w:color="auto"/>
            <w:left w:val="none" w:sz="0" w:space="0" w:color="auto"/>
            <w:bottom w:val="none" w:sz="0" w:space="0" w:color="auto"/>
            <w:right w:val="none" w:sz="0" w:space="0" w:color="auto"/>
          </w:divBdr>
        </w:div>
      </w:divsChild>
    </w:div>
    <w:div w:id="112854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5511-458A-4498-BD59-57F52B41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4012</Words>
  <Characters>22871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NOTĂ DE FUNDAMENTARE</vt:lpstr>
    </vt:vector>
  </TitlesOfParts>
  <Company/>
  <LinksUpToDate>false</LinksUpToDate>
  <CharactersWithSpaces>26830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subject/>
  <dc:creator>IULIANA-MIHAELA CERNAZEANU</dc:creator>
  <cp:keywords/>
  <dc:description/>
  <cp:lastModifiedBy>Alexandru Rogobete</cp:lastModifiedBy>
  <cp:revision>8</cp:revision>
  <cp:lastPrinted>2023-04-11T13:38:00Z</cp:lastPrinted>
  <dcterms:created xsi:type="dcterms:W3CDTF">2023-03-03T11:32:00Z</dcterms:created>
  <dcterms:modified xsi:type="dcterms:W3CDTF">2023-04-11T13:38:00Z</dcterms:modified>
</cp:coreProperties>
</file>