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332" w:rsidRDefault="00100B2F">
      <w:pPr>
        <w:pStyle w:val="NormalWeb"/>
      </w:pPr>
      <w:bookmarkStart w:id="0" w:name="7452562"/>
      <w:bookmarkEnd w:id="0"/>
      <w:proofErr w:type="spellStart"/>
      <w:r>
        <w:rPr>
          <w:rStyle w:val="rvts11"/>
        </w:rPr>
        <w:t>Ministerul</w:t>
      </w:r>
      <w:proofErr w:type="spellEnd"/>
      <w:r>
        <w:rPr>
          <w:rStyle w:val="rvts11"/>
        </w:rPr>
        <w:t xml:space="preserve"> </w:t>
      </w:r>
      <w:proofErr w:type="spellStart"/>
      <w:r>
        <w:rPr>
          <w:rStyle w:val="rvts11"/>
        </w:rPr>
        <w:t>Sănătăţii</w:t>
      </w:r>
      <w:proofErr w:type="spellEnd"/>
    </w:p>
    <w:p w:rsidR="00054332" w:rsidRDefault="00100B2F">
      <w:pPr>
        <w:pStyle w:val="rvps1"/>
      </w:pPr>
      <w:bookmarkStart w:id="1" w:name="7452563"/>
      <w:bookmarkEnd w:id="1"/>
      <w:r>
        <w:rPr>
          <w:rStyle w:val="rvts11"/>
        </w:rPr>
        <w:t>ORDIN………………………………</w:t>
      </w:r>
    </w:p>
    <w:p w:rsidR="00054332" w:rsidRDefault="00054332">
      <w:pPr>
        <w:pStyle w:val="rvps1"/>
        <w:rPr>
          <w:rStyle w:val="rvts11"/>
          <w:lang w:val="ro-RO"/>
        </w:rPr>
      </w:pPr>
    </w:p>
    <w:p w:rsidR="00054332" w:rsidRDefault="00054332">
      <w:pPr>
        <w:pStyle w:val="rvps1"/>
      </w:pPr>
    </w:p>
    <w:p w:rsidR="00054332" w:rsidRDefault="00100B2F">
      <w:pPr>
        <w:pStyle w:val="rvps1"/>
      </w:pPr>
      <w:bookmarkStart w:id="2" w:name="_GoBack"/>
      <w:proofErr w:type="spellStart"/>
      <w:proofErr w:type="gramStart"/>
      <w:r>
        <w:rPr>
          <w:rStyle w:val="rvts11"/>
        </w:rPr>
        <w:t>pentru</w:t>
      </w:r>
      <w:proofErr w:type="spellEnd"/>
      <w:proofErr w:type="gramEnd"/>
      <w:r>
        <w:rPr>
          <w:rStyle w:val="rvts11"/>
        </w:rPr>
        <w:t xml:space="preserve"> </w:t>
      </w:r>
      <w:r>
        <w:rPr>
          <w:rStyle w:val="rvts11"/>
          <w:lang w:val="ro-RO"/>
        </w:rPr>
        <w:t xml:space="preserve">completarea </w:t>
      </w:r>
      <w:proofErr w:type="spellStart"/>
      <w:r>
        <w:rPr>
          <w:rStyle w:val="rvts11"/>
        </w:rPr>
        <w:t>anexei</w:t>
      </w:r>
      <w:proofErr w:type="spellEnd"/>
      <w:r>
        <w:rPr>
          <w:rStyle w:val="rvts11"/>
        </w:rPr>
        <w:t xml:space="preserve"> la </w:t>
      </w:r>
      <w:proofErr w:type="spellStart"/>
      <w:r>
        <w:rPr>
          <w:rStyle w:val="rvts11"/>
        </w:rPr>
        <w:t>Ordinul</w:t>
      </w:r>
      <w:proofErr w:type="spellEnd"/>
      <w:r>
        <w:rPr>
          <w:rStyle w:val="rvts11"/>
        </w:rPr>
        <w:t xml:space="preserve"> </w:t>
      </w:r>
      <w:proofErr w:type="spellStart"/>
      <w:r>
        <w:rPr>
          <w:rStyle w:val="rvts11"/>
        </w:rPr>
        <w:t>ministrului</w:t>
      </w:r>
      <w:proofErr w:type="spellEnd"/>
      <w:r>
        <w:rPr>
          <w:rStyle w:val="rvts11"/>
        </w:rPr>
        <w:t xml:space="preserve"> </w:t>
      </w:r>
      <w:proofErr w:type="spellStart"/>
      <w:r>
        <w:rPr>
          <w:rStyle w:val="rvts11"/>
        </w:rPr>
        <w:t>sănătăţii</w:t>
      </w:r>
      <w:proofErr w:type="spellEnd"/>
      <w:r>
        <w:rPr>
          <w:rStyle w:val="rvts11"/>
        </w:rPr>
        <w:t xml:space="preserve"> </w:t>
      </w:r>
      <w:proofErr w:type="spellStart"/>
      <w:r>
        <w:rPr>
          <w:rStyle w:val="rvts11"/>
        </w:rPr>
        <w:t>nr</w:t>
      </w:r>
      <w:proofErr w:type="spellEnd"/>
      <w:r>
        <w:rPr>
          <w:rStyle w:val="rvts11"/>
        </w:rPr>
        <w:t xml:space="preserve">. 607/2019 </w:t>
      </w:r>
      <w:proofErr w:type="spellStart"/>
      <w:r>
        <w:rPr>
          <w:rStyle w:val="rvts11"/>
        </w:rPr>
        <w:t>privind</w:t>
      </w:r>
      <w:proofErr w:type="spellEnd"/>
      <w:r>
        <w:rPr>
          <w:rStyle w:val="rvts11"/>
        </w:rPr>
        <w:t xml:space="preserve"> </w:t>
      </w:r>
      <w:proofErr w:type="spellStart"/>
      <w:r>
        <w:rPr>
          <w:rStyle w:val="rvts11"/>
        </w:rPr>
        <w:t>aprobarea</w:t>
      </w:r>
      <w:proofErr w:type="spellEnd"/>
      <w:r>
        <w:rPr>
          <w:rStyle w:val="rvts11"/>
        </w:rPr>
        <w:t xml:space="preserve"> </w:t>
      </w:r>
      <w:proofErr w:type="spellStart"/>
      <w:r>
        <w:rPr>
          <w:rStyle w:val="rvts11"/>
        </w:rPr>
        <w:t>listei</w:t>
      </w:r>
      <w:proofErr w:type="spellEnd"/>
      <w:r>
        <w:rPr>
          <w:rStyle w:val="rvts11"/>
        </w:rPr>
        <w:t xml:space="preserve"> </w:t>
      </w:r>
      <w:proofErr w:type="spellStart"/>
      <w:r>
        <w:rPr>
          <w:rStyle w:val="rvts11"/>
        </w:rPr>
        <w:t>vaccinurilor</w:t>
      </w:r>
      <w:proofErr w:type="spellEnd"/>
      <w:r>
        <w:rPr>
          <w:rStyle w:val="rvts11"/>
        </w:rPr>
        <w:t xml:space="preserve"> </w:t>
      </w:r>
      <w:proofErr w:type="spellStart"/>
      <w:r>
        <w:rPr>
          <w:rStyle w:val="rvts11"/>
        </w:rPr>
        <w:t>achiziţionate</w:t>
      </w:r>
      <w:proofErr w:type="spellEnd"/>
      <w:r>
        <w:rPr>
          <w:rStyle w:val="rvts11"/>
        </w:rPr>
        <w:t xml:space="preserve"> </w:t>
      </w:r>
      <w:proofErr w:type="spellStart"/>
      <w:r>
        <w:rPr>
          <w:rStyle w:val="rvts11"/>
        </w:rPr>
        <w:t>în</w:t>
      </w:r>
      <w:proofErr w:type="spellEnd"/>
      <w:r>
        <w:rPr>
          <w:rStyle w:val="rvts11"/>
        </w:rPr>
        <w:t xml:space="preserve"> </w:t>
      </w:r>
      <w:proofErr w:type="spellStart"/>
      <w:r>
        <w:rPr>
          <w:rStyle w:val="rvts11"/>
        </w:rPr>
        <w:t>cadrul</w:t>
      </w:r>
      <w:proofErr w:type="spellEnd"/>
      <w:r>
        <w:rPr>
          <w:rStyle w:val="rvts11"/>
        </w:rPr>
        <w:t xml:space="preserve"> </w:t>
      </w:r>
      <w:proofErr w:type="spellStart"/>
      <w:r>
        <w:rPr>
          <w:rStyle w:val="rvts11"/>
        </w:rPr>
        <w:t>programelor</w:t>
      </w:r>
      <w:proofErr w:type="spellEnd"/>
      <w:r>
        <w:rPr>
          <w:rStyle w:val="rvts11"/>
        </w:rPr>
        <w:t xml:space="preserve"> </w:t>
      </w:r>
      <w:proofErr w:type="spellStart"/>
      <w:r>
        <w:rPr>
          <w:rStyle w:val="rvts11"/>
        </w:rPr>
        <w:t>naţionale</w:t>
      </w:r>
      <w:proofErr w:type="spellEnd"/>
      <w:r>
        <w:rPr>
          <w:rStyle w:val="rvts11"/>
        </w:rPr>
        <w:t xml:space="preserve"> de </w:t>
      </w:r>
      <w:proofErr w:type="spellStart"/>
      <w:r>
        <w:rPr>
          <w:rStyle w:val="rvts11"/>
        </w:rPr>
        <w:t>sănătate</w:t>
      </w:r>
      <w:proofErr w:type="spellEnd"/>
      <w:r>
        <w:rPr>
          <w:rStyle w:val="rvts11"/>
        </w:rPr>
        <w:t xml:space="preserve"> </w:t>
      </w:r>
      <w:proofErr w:type="spellStart"/>
      <w:r>
        <w:rPr>
          <w:rStyle w:val="rvts11"/>
        </w:rPr>
        <w:t>pentru</w:t>
      </w:r>
      <w:proofErr w:type="spellEnd"/>
      <w:r>
        <w:rPr>
          <w:rStyle w:val="rvts11"/>
        </w:rPr>
        <w:t xml:space="preserve"> care nu se </w:t>
      </w:r>
      <w:proofErr w:type="spellStart"/>
      <w:r>
        <w:rPr>
          <w:rStyle w:val="rvts11"/>
        </w:rPr>
        <w:t>datorează</w:t>
      </w:r>
      <w:proofErr w:type="spellEnd"/>
      <w:r>
        <w:rPr>
          <w:rStyle w:val="rvts11"/>
        </w:rPr>
        <w:t xml:space="preserve"> </w:t>
      </w:r>
      <w:proofErr w:type="spellStart"/>
      <w:r>
        <w:rPr>
          <w:rStyle w:val="rvts11"/>
        </w:rPr>
        <w:t>contribuţii</w:t>
      </w:r>
      <w:proofErr w:type="spellEnd"/>
      <w:r>
        <w:rPr>
          <w:rStyle w:val="rvts11"/>
        </w:rPr>
        <w:t xml:space="preserve"> </w:t>
      </w:r>
      <w:proofErr w:type="spellStart"/>
      <w:r>
        <w:rPr>
          <w:rStyle w:val="rvts11"/>
        </w:rPr>
        <w:t>trimestriale</w:t>
      </w:r>
      <w:proofErr w:type="spellEnd"/>
      <w:r>
        <w:rPr>
          <w:rStyle w:val="rvts11"/>
        </w:rPr>
        <w:t xml:space="preserve"> calculate conform </w:t>
      </w:r>
      <w:proofErr w:type="spellStart"/>
      <w:r>
        <w:rPr>
          <w:rStyle w:val="rvts11"/>
        </w:rPr>
        <w:t>Ordonanţei</w:t>
      </w:r>
      <w:proofErr w:type="spellEnd"/>
      <w:r>
        <w:rPr>
          <w:rStyle w:val="rvts11"/>
        </w:rPr>
        <w:t xml:space="preserve"> de </w:t>
      </w:r>
      <w:proofErr w:type="spellStart"/>
      <w:r>
        <w:rPr>
          <w:rStyle w:val="rvts11"/>
        </w:rPr>
        <w:t>urgenţă</w:t>
      </w:r>
      <w:proofErr w:type="spellEnd"/>
      <w:r>
        <w:rPr>
          <w:rStyle w:val="rvts11"/>
        </w:rPr>
        <w:t xml:space="preserve"> a </w:t>
      </w:r>
      <w:proofErr w:type="spellStart"/>
      <w:r>
        <w:rPr>
          <w:rStyle w:val="rvts11"/>
        </w:rPr>
        <w:t>Guvernului</w:t>
      </w:r>
      <w:proofErr w:type="spellEnd"/>
      <w:r>
        <w:rPr>
          <w:rStyle w:val="rvts11"/>
        </w:rPr>
        <w:t xml:space="preserve"> </w:t>
      </w:r>
      <w:proofErr w:type="spellStart"/>
      <w:r>
        <w:rPr>
          <w:rStyle w:val="rvts11"/>
        </w:rPr>
        <w:t>nr</w:t>
      </w:r>
      <w:proofErr w:type="spellEnd"/>
      <w:r>
        <w:rPr>
          <w:rStyle w:val="rvts11"/>
        </w:rPr>
        <w:t xml:space="preserve">. 77/2011 </w:t>
      </w:r>
      <w:proofErr w:type="spellStart"/>
      <w:r>
        <w:rPr>
          <w:rStyle w:val="rvts11"/>
        </w:rPr>
        <w:t>privind</w:t>
      </w:r>
      <w:proofErr w:type="spellEnd"/>
      <w:r>
        <w:rPr>
          <w:rStyle w:val="rvts11"/>
        </w:rPr>
        <w:t xml:space="preserve"> </w:t>
      </w:r>
      <w:proofErr w:type="spellStart"/>
      <w:r>
        <w:rPr>
          <w:rStyle w:val="rvts11"/>
        </w:rPr>
        <w:t>stabilirea</w:t>
      </w:r>
      <w:proofErr w:type="spellEnd"/>
      <w:r>
        <w:rPr>
          <w:rStyle w:val="rvts11"/>
        </w:rPr>
        <w:t xml:space="preserve"> </w:t>
      </w:r>
      <w:proofErr w:type="spellStart"/>
      <w:r>
        <w:rPr>
          <w:rStyle w:val="rvts11"/>
        </w:rPr>
        <w:t>unor</w:t>
      </w:r>
      <w:proofErr w:type="spellEnd"/>
      <w:r>
        <w:rPr>
          <w:rStyle w:val="rvts11"/>
        </w:rPr>
        <w:t xml:space="preserve"> </w:t>
      </w:r>
      <w:proofErr w:type="spellStart"/>
      <w:r>
        <w:rPr>
          <w:rStyle w:val="rvts11"/>
        </w:rPr>
        <w:t>contribuţii</w:t>
      </w:r>
      <w:proofErr w:type="spellEnd"/>
      <w:r>
        <w:rPr>
          <w:rStyle w:val="rvts11"/>
        </w:rPr>
        <w:t xml:space="preserve"> </w:t>
      </w:r>
      <w:proofErr w:type="spellStart"/>
      <w:r>
        <w:rPr>
          <w:rStyle w:val="rvts11"/>
        </w:rPr>
        <w:t>pentru</w:t>
      </w:r>
      <w:proofErr w:type="spellEnd"/>
      <w:r>
        <w:rPr>
          <w:rStyle w:val="rvts11"/>
        </w:rPr>
        <w:t xml:space="preserve"> </w:t>
      </w:r>
      <w:proofErr w:type="spellStart"/>
      <w:r>
        <w:rPr>
          <w:rStyle w:val="rvts11"/>
        </w:rPr>
        <w:t>finanţarea</w:t>
      </w:r>
      <w:proofErr w:type="spellEnd"/>
      <w:r>
        <w:rPr>
          <w:rStyle w:val="rvts11"/>
        </w:rPr>
        <w:t xml:space="preserve"> </w:t>
      </w:r>
      <w:proofErr w:type="spellStart"/>
      <w:r>
        <w:rPr>
          <w:rStyle w:val="rvts11"/>
        </w:rPr>
        <w:t>unor</w:t>
      </w:r>
      <w:proofErr w:type="spellEnd"/>
      <w:r>
        <w:rPr>
          <w:rStyle w:val="rvts11"/>
        </w:rPr>
        <w:t xml:space="preserve"> </w:t>
      </w:r>
      <w:proofErr w:type="spellStart"/>
      <w:r>
        <w:rPr>
          <w:rStyle w:val="rvts11"/>
        </w:rPr>
        <w:t>cheltuieli</w:t>
      </w:r>
      <w:proofErr w:type="spellEnd"/>
      <w:r>
        <w:rPr>
          <w:rStyle w:val="rvts11"/>
        </w:rPr>
        <w:t xml:space="preserve"> </w:t>
      </w:r>
      <w:proofErr w:type="spellStart"/>
      <w:r>
        <w:rPr>
          <w:rStyle w:val="rvts11"/>
        </w:rPr>
        <w:t>în</w:t>
      </w:r>
      <w:proofErr w:type="spellEnd"/>
      <w:r>
        <w:rPr>
          <w:rStyle w:val="rvts11"/>
        </w:rPr>
        <w:t xml:space="preserve"> </w:t>
      </w:r>
      <w:proofErr w:type="spellStart"/>
      <w:r>
        <w:rPr>
          <w:rStyle w:val="rvts11"/>
        </w:rPr>
        <w:t>domeniul</w:t>
      </w:r>
      <w:proofErr w:type="spellEnd"/>
      <w:r>
        <w:rPr>
          <w:rStyle w:val="rvts11"/>
        </w:rPr>
        <w:t xml:space="preserve"> </w:t>
      </w:r>
      <w:proofErr w:type="spellStart"/>
      <w:r>
        <w:rPr>
          <w:rStyle w:val="rvts11"/>
        </w:rPr>
        <w:t>sănătăţii</w:t>
      </w:r>
      <w:proofErr w:type="spellEnd"/>
    </w:p>
    <w:bookmarkEnd w:id="2"/>
    <w:p w:rsidR="00054332" w:rsidRDefault="00054332">
      <w:pPr>
        <w:pStyle w:val="NormalWeb"/>
        <w:rPr>
          <w:rStyle w:val="rvts21"/>
          <w:lang w:val="ro-RO"/>
        </w:rPr>
      </w:pPr>
    </w:p>
    <w:p w:rsidR="00054332" w:rsidRDefault="00054332">
      <w:pPr>
        <w:pStyle w:val="NormalWeb"/>
        <w:rPr>
          <w:rStyle w:val="rvts21"/>
        </w:rPr>
      </w:pPr>
    </w:p>
    <w:p w:rsidR="00054332" w:rsidRDefault="00100B2F">
      <w:pPr>
        <w:pStyle w:val="NormalWeb"/>
        <w:rPr>
          <w:lang w:val="ro-RO"/>
        </w:rPr>
      </w:pPr>
      <w:r>
        <w:rPr>
          <w:rStyle w:val="rvts21"/>
        </w:rPr>
        <w:t xml:space="preserve">    </w:t>
      </w:r>
      <w:proofErr w:type="spellStart"/>
      <w:r>
        <w:rPr>
          <w:rStyle w:val="rvts21"/>
        </w:rPr>
        <w:t>Văzând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Referatul</w:t>
      </w:r>
      <w:proofErr w:type="spellEnd"/>
      <w:r>
        <w:rPr>
          <w:rStyle w:val="rvts21"/>
        </w:rPr>
        <w:t xml:space="preserve"> de </w:t>
      </w:r>
      <w:proofErr w:type="spellStart"/>
      <w:r>
        <w:rPr>
          <w:rStyle w:val="rvts21"/>
        </w:rPr>
        <w:t>aprobare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nr</w:t>
      </w:r>
      <w:proofErr w:type="spellEnd"/>
      <w:r>
        <w:rPr>
          <w:rStyle w:val="rvts21"/>
        </w:rPr>
        <w:t xml:space="preserve">. …………………………… al </w:t>
      </w:r>
      <w:proofErr w:type="spellStart"/>
      <w:r>
        <w:rPr>
          <w:rStyle w:val="rvts21"/>
        </w:rPr>
        <w:t>Direcţiei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generale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asisten</w:t>
      </w:r>
      <w:proofErr w:type="spellEnd"/>
      <w:r>
        <w:rPr>
          <w:rStyle w:val="rvts21"/>
          <w:lang w:val="ro-RO"/>
        </w:rPr>
        <w:t xml:space="preserve">ță medicală și sănătate publică, Direcția Programe de sănătate publică </w:t>
      </w:r>
      <w:r>
        <w:rPr>
          <w:rStyle w:val="rvts21"/>
        </w:rPr>
        <w:t xml:space="preserve">din </w:t>
      </w:r>
      <w:proofErr w:type="spellStart"/>
      <w:r>
        <w:rPr>
          <w:rStyle w:val="rvts21"/>
        </w:rPr>
        <w:t>cadrul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Ministerului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Sănătăţii</w:t>
      </w:r>
      <w:proofErr w:type="spellEnd"/>
      <w:r>
        <w:rPr>
          <w:rStyle w:val="rvts21"/>
        </w:rPr>
        <w:t>,</w:t>
      </w:r>
    </w:p>
    <w:p w:rsidR="003010F4" w:rsidRDefault="00100B2F">
      <w:pPr>
        <w:pStyle w:val="NormalWeb"/>
        <w:rPr>
          <w:rStyle w:val="rvts21"/>
        </w:rPr>
      </w:pPr>
      <w:r>
        <w:rPr>
          <w:rStyle w:val="rvts21"/>
        </w:rPr>
        <w:t xml:space="preserve">    </w:t>
      </w:r>
      <w:proofErr w:type="spellStart"/>
      <w:proofErr w:type="gramStart"/>
      <w:r>
        <w:rPr>
          <w:rStyle w:val="rvts21"/>
        </w:rPr>
        <w:t>având</w:t>
      </w:r>
      <w:proofErr w:type="spellEnd"/>
      <w:proofErr w:type="gramEnd"/>
      <w:r>
        <w:rPr>
          <w:rStyle w:val="rvts21"/>
        </w:rPr>
        <w:t xml:space="preserve"> </w:t>
      </w:r>
      <w:proofErr w:type="spellStart"/>
      <w:r>
        <w:rPr>
          <w:rStyle w:val="rvts21"/>
        </w:rPr>
        <w:t>în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vedere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prevederile</w:t>
      </w:r>
      <w:proofErr w:type="spellEnd"/>
      <w:r>
        <w:rPr>
          <w:rStyle w:val="rvts21"/>
        </w:rPr>
        <w:t> </w:t>
      </w:r>
      <w:r>
        <w:t>art. 1</w:t>
      </w:r>
      <w:r>
        <w:rPr>
          <w:vertAlign w:val="superscript"/>
        </w:rPr>
        <w:t>2</w:t>
      </w:r>
      <w:r>
        <w:rPr>
          <w:rStyle w:val="rvts21"/>
        </w:rPr>
        <w:t xml:space="preserve"> din </w:t>
      </w:r>
      <w:proofErr w:type="spellStart"/>
      <w:r>
        <w:rPr>
          <w:rStyle w:val="rvts21"/>
        </w:rPr>
        <w:t>Ordonanţa</w:t>
      </w:r>
      <w:proofErr w:type="spellEnd"/>
      <w:r>
        <w:rPr>
          <w:rStyle w:val="rvts21"/>
        </w:rPr>
        <w:t xml:space="preserve"> de </w:t>
      </w:r>
      <w:proofErr w:type="spellStart"/>
      <w:r>
        <w:rPr>
          <w:rStyle w:val="rvts21"/>
        </w:rPr>
        <w:t>urgenţă</w:t>
      </w:r>
      <w:proofErr w:type="spellEnd"/>
      <w:r>
        <w:rPr>
          <w:rStyle w:val="rvts21"/>
        </w:rPr>
        <w:t xml:space="preserve"> a </w:t>
      </w:r>
      <w:proofErr w:type="spellStart"/>
      <w:r>
        <w:rPr>
          <w:rStyle w:val="rvts21"/>
        </w:rPr>
        <w:t>Guvernului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nr</w:t>
      </w:r>
      <w:proofErr w:type="spellEnd"/>
      <w:r>
        <w:rPr>
          <w:rStyle w:val="rvts21"/>
        </w:rPr>
        <w:t xml:space="preserve">. 77/2011 </w:t>
      </w:r>
      <w:proofErr w:type="spellStart"/>
      <w:r>
        <w:rPr>
          <w:rStyle w:val="rvts21"/>
        </w:rPr>
        <w:t>privind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stabilirea</w:t>
      </w:r>
      <w:proofErr w:type="spellEnd"/>
      <w:r>
        <w:rPr>
          <w:rStyle w:val="rvts21"/>
        </w:rPr>
        <w:t xml:space="preserve"> </w:t>
      </w:r>
    </w:p>
    <w:p w:rsidR="00054332" w:rsidRDefault="00100B2F">
      <w:pPr>
        <w:pStyle w:val="NormalWeb"/>
      </w:pPr>
      <w:proofErr w:type="spellStart"/>
      <w:proofErr w:type="gramStart"/>
      <w:r>
        <w:rPr>
          <w:rStyle w:val="rvts21"/>
        </w:rPr>
        <w:t>unor</w:t>
      </w:r>
      <w:proofErr w:type="spellEnd"/>
      <w:proofErr w:type="gramEnd"/>
      <w:r>
        <w:rPr>
          <w:rStyle w:val="rvts21"/>
        </w:rPr>
        <w:t xml:space="preserve"> </w:t>
      </w:r>
      <w:proofErr w:type="spellStart"/>
      <w:r>
        <w:rPr>
          <w:rStyle w:val="rvts21"/>
        </w:rPr>
        <w:t>contribuţii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pentru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finanţarea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unor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cheltuieli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în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domeniul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sănătăţii</w:t>
      </w:r>
      <w:proofErr w:type="spellEnd"/>
      <w:r>
        <w:rPr>
          <w:rStyle w:val="rvts21"/>
        </w:rPr>
        <w:t xml:space="preserve">, </w:t>
      </w:r>
      <w:proofErr w:type="spellStart"/>
      <w:r>
        <w:rPr>
          <w:rStyle w:val="rvts21"/>
        </w:rPr>
        <w:t>aprobată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prin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Legea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nr</w:t>
      </w:r>
      <w:proofErr w:type="spellEnd"/>
      <w:r>
        <w:rPr>
          <w:rStyle w:val="rvts21"/>
        </w:rPr>
        <w:t xml:space="preserve">. 184/2015, cu </w:t>
      </w:r>
      <w:proofErr w:type="spellStart"/>
      <w:r>
        <w:rPr>
          <w:rStyle w:val="rvts21"/>
        </w:rPr>
        <w:t>modificările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şi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completările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ulterioare</w:t>
      </w:r>
      <w:proofErr w:type="spellEnd"/>
      <w:r>
        <w:rPr>
          <w:rStyle w:val="rvts21"/>
        </w:rPr>
        <w:t>,</w:t>
      </w:r>
    </w:p>
    <w:p w:rsidR="00054332" w:rsidRDefault="00100B2F">
      <w:pPr>
        <w:pStyle w:val="NormalWeb"/>
      </w:pPr>
      <w:r>
        <w:rPr>
          <w:rStyle w:val="rvts21"/>
        </w:rPr>
        <w:t xml:space="preserve">    </w:t>
      </w:r>
      <w:proofErr w:type="spellStart"/>
      <w:proofErr w:type="gramStart"/>
      <w:r>
        <w:rPr>
          <w:rStyle w:val="rvts21"/>
        </w:rPr>
        <w:t>în</w:t>
      </w:r>
      <w:proofErr w:type="spellEnd"/>
      <w:proofErr w:type="gramEnd"/>
      <w:r>
        <w:rPr>
          <w:rStyle w:val="rvts21"/>
        </w:rPr>
        <w:t xml:space="preserve"> </w:t>
      </w:r>
      <w:proofErr w:type="spellStart"/>
      <w:r>
        <w:rPr>
          <w:rStyle w:val="rvts21"/>
        </w:rPr>
        <w:t>temeiul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prevederilor</w:t>
      </w:r>
      <w:proofErr w:type="spellEnd"/>
      <w:r>
        <w:rPr>
          <w:rStyle w:val="rvts21"/>
        </w:rPr>
        <w:t> </w:t>
      </w:r>
      <w:hyperlink r:id="rId4" w:history="1">
        <w:r>
          <w:rPr>
            <w:rStyle w:val="Hyperlink"/>
            <w:color w:val="auto"/>
            <w:u w:val="none"/>
          </w:rPr>
          <w:t>art. 7</w:t>
        </w:r>
      </w:hyperlink>
      <w:r>
        <w:rPr>
          <w:rStyle w:val="rvts21"/>
        </w:rPr>
        <w:t> </w:t>
      </w:r>
      <w:proofErr w:type="spellStart"/>
      <w:r>
        <w:rPr>
          <w:rStyle w:val="rvts21"/>
        </w:rPr>
        <w:t>alin</w:t>
      </w:r>
      <w:proofErr w:type="spellEnd"/>
      <w:r>
        <w:rPr>
          <w:rStyle w:val="rvts21"/>
        </w:rPr>
        <w:t xml:space="preserve">. (4) </w:t>
      </w:r>
      <w:proofErr w:type="gramStart"/>
      <w:r>
        <w:rPr>
          <w:rStyle w:val="rvts21"/>
        </w:rPr>
        <w:t>din</w:t>
      </w:r>
      <w:proofErr w:type="gramEnd"/>
      <w:r>
        <w:rPr>
          <w:rStyle w:val="rvts21"/>
        </w:rPr>
        <w:t xml:space="preserve"> </w:t>
      </w:r>
      <w:proofErr w:type="spellStart"/>
      <w:r>
        <w:rPr>
          <w:rStyle w:val="rvts21"/>
        </w:rPr>
        <w:t>Hotărârea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Guvernului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nr</w:t>
      </w:r>
      <w:proofErr w:type="spellEnd"/>
      <w:r>
        <w:rPr>
          <w:rStyle w:val="rvts21"/>
        </w:rPr>
        <w:t xml:space="preserve">. 144/2010 </w:t>
      </w:r>
      <w:proofErr w:type="spellStart"/>
      <w:r>
        <w:rPr>
          <w:rStyle w:val="rvts21"/>
        </w:rPr>
        <w:t>privind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organizarea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şi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funcţionarea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Ministerului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Sănătăţii</w:t>
      </w:r>
      <w:proofErr w:type="spellEnd"/>
      <w:r>
        <w:rPr>
          <w:rStyle w:val="rvts21"/>
        </w:rPr>
        <w:t xml:space="preserve">, cu </w:t>
      </w:r>
      <w:proofErr w:type="spellStart"/>
      <w:r>
        <w:rPr>
          <w:rStyle w:val="rvts21"/>
        </w:rPr>
        <w:t>modificările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şi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completările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ulterioare</w:t>
      </w:r>
      <w:proofErr w:type="spellEnd"/>
      <w:r>
        <w:rPr>
          <w:rStyle w:val="rvts21"/>
        </w:rPr>
        <w:t>,</w:t>
      </w:r>
    </w:p>
    <w:p w:rsidR="00054332" w:rsidRDefault="00054332">
      <w:pPr>
        <w:pStyle w:val="NormalWeb"/>
      </w:pPr>
    </w:p>
    <w:p w:rsidR="00054332" w:rsidRDefault="00100B2F">
      <w:pPr>
        <w:pStyle w:val="NormalWeb"/>
        <w:rPr>
          <w:rStyle w:val="rvts51"/>
          <w:lang w:val="ro-RO"/>
        </w:rPr>
      </w:pPr>
      <w:r>
        <w:rPr>
          <w:rStyle w:val="rvts51"/>
        </w:rPr>
        <w:t xml:space="preserve">    </w:t>
      </w:r>
      <w:proofErr w:type="spellStart"/>
      <w:proofErr w:type="gramStart"/>
      <w:r>
        <w:rPr>
          <w:rStyle w:val="rvts51"/>
        </w:rPr>
        <w:t>ministrul</w:t>
      </w:r>
      <w:proofErr w:type="spellEnd"/>
      <w:proofErr w:type="gramEnd"/>
      <w:r>
        <w:rPr>
          <w:rStyle w:val="rvts51"/>
        </w:rPr>
        <w:t xml:space="preserve"> </w:t>
      </w:r>
      <w:proofErr w:type="spellStart"/>
      <w:r>
        <w:rPr>
          <w:rStyle w:val="rvts51"/>
        </w:rPr>
        <w:t>sănătăţii</w:t>
      </w:r>
      <w:proofErr w:type="spellEnd"/>
      <w:r>
        <w:rPr>
          <w:rStyle w:val="rvts51"/>
        </w:rPr>
        <w:t xml:space="preserve"> </w:t>
      </w:r>
      <w:proofErr w:type="spellStart"/>
      <w:r>
        <w:rPr>
          <w:rStyle w:val="rvts51"/>
        </w:rPr>
        <w:t>emite</w:t>
      </w:r>
      <w:proofErr w:type="spellEnd"/>
      <w:r>
        <w:rPr>
          <w:rStyle w:val="rvts51"/>
        </w:rPr>
        <w:t xml:space="preserve"> </w:t>
      </w:r>
      <w:proofErr w:type="spellStart"/>
      <w:r>
        <w:rPr>
          <w:rStyle w:val="rvts51"/>
        </w:rPr>
        <w:t>următorul</w:t>
      </w:r>
      <w:proofErr w:type="spellEnd"/>
      <w:r>
        <w:rPr>
          <w:rStyle w:val="rvts51"/>
        </w:rPr>
        <w:t xml:space="preserve"> </w:t>
      </w:r>
      <w:proofErr w:type="spellStart"/>
      <w:r>
        <w:rPr>
          <w:rStyle w:val="rvts51"/>
        </w:rPr>
        <w:t>ordin</w:t>
      </w:r>
      <w:proofErr w:type="spellEnd"/>
      <w:r>
        <w:rPr>
          <w:rStyle w:val="rvts51"/>
        </w:rPr>
        <w:t>:</w:t>
      </w:r>
    </w:p>
    <w:p w:rsidR="00054332" w:rsidRDefault="00054332">
      <w:pPr>
        <w:pStyle w:val="NormalWeb"/>
        <w:rPr>
          <w:rStyle w:val="rvts51"/>
        </w:rPr>
      </w:pPr>
    </w:p>
    <w:p w:rsidR="00054332" w:rsidRDefault="00054332">
      <w:pPr>
        <w:pStyle w:val="NormalWeb"/>
        <w:rPr>
          <w:rStyle w:val="rvts51"/>
        </w:rPr>
      </w:pPr>
    </w:p>
    <w:p w:rsidR="00054332" w:rsidRDefault="00100B2F">
      <w:pPr>
        <w:pStyle w:val="NormalWeb"/>
        <w:jc w:val="both"/>
        <w:rPr>
          <w:rStyle w:val="rvts21"/>
          <w:lang w:val="ro-RO"/>
        </w:rPr>
      </w:pPr>
      <w:r>
        <w:rPr>
          <w:rStyle w:val="rvts61"/>
          <w:color w:val="auto"/>
        </w:rPr>
        <w:t xml:space="preserve">          Art. I – </w:t>
      </w:r>
      <w:r>
        <w:rPr>
          <w:rStyle w:val="rvts21"/>
          <w:lang w:val="ro-RO"/>
        </w:rPr>
        <w:t>A</w:t>
      </w:r>
      <w:r>
        <w:fldChar w:fldCharType="begin"/>
      </w:r>
      <w:r>
        <w:instrText xml:space="preserve"> HYPERLINK "javascript:OpenDocumentView(380601,%207318161);" </w:instrText>
      </w:r>
      <w:r>
        <w:fldChar w:fldCharType="separate"/>
      </w:r>
      <w:proofErr w:type="spellStart"/>
      <w:r>
        <w:rPr>
          <w:rStyle w:val="Hyperlink"/>
          <w:color w:val="auto"/>
          <w:u w:val="none"/>
        </w:rPr>
        <w:t>nexa</w:t>
      </w:r>
      <w:proofErr w:type="spellEnd"/>
      <w:r>
        <w:fldChar w:fldCharType="end"/>
      </w:r>
      <w:r>
        <w:rPr>
          <w:rStyle w:val="rvts21"/>
        </w:rPr>
        <w:t xml:space="preserve"> la </w:t>
      </w:r>
      <w:proofErr w:type="spellStart"/>
      <w:r>
        <w:rPr>
          <w:rStyle w:val="rvts21"/>
        </w:rPr>
        <w:t>Ordinul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ministrului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sănătăţii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nr</w:t>
      </w:r>
      <w:proofErr w:type="spellEnd"/>
      <w:r>
        <w:rPr>
          <w:rStyle w:val="rvts21"/>
        </w:rPr>
        <w:t xml:space="preserve">. 607/2019 </w:t>
      </w:r>
      <w:proofErr w:type="spellStart"/>
      <w:r>
        <w:rPr>
          <w:rStyle w:val="rvts21"/>
        </w:rPr>
        <w:t>privind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aprobarea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listei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vaccinurilor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achiziţionate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în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cadrul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programelor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naţionale</w:t>
      </w:r>
      <w:proofErr w:type="spellEnd"/>
      <w:r>
        <w:rPr>
          <w:rStyle w:val="rvts21"/>
        </w:rPr>
        <w:t xml:space="preserve"> de </w:t>
      </w:r>
      <w:proofErr w:type="spellStart"/>
      <w:r>
        <w:rPr>
          <w:rStyle w:val="rvts21"/>
        </w:rPr>
        <w:t>sănătate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pentru</w:t>
      </w:r>
      <w:proofErr w:type="spellEnd"/>
      <w:r>
        <w:rPr>
          <w:rStyle w:val="rvts21"/>
        </w:rPr>
        <w:t xml:space="preserve"> care nu se </w:t>
      </w:r>
      <w:proofErr w:type="spellStart"/>
      <w:r>
        <w:rPr>
          <w:rStyle w:val="rvts21"/>
        </w:rPr>
        <w:t>datorează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contribuţii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trimestriale</w:t>
      </w:r>
      <w:proofErr w:type="spellEnd"/>
      <w:r>
        <w:rPr>
          <w:rStyle w:val="rvts21"/>
        </w:rPr>
        <w:t xml:space="preserve"> calculate conform </w:t>
      </w:r>
      <w:proofErr w:type="spellStart"/>
      <w:r>
        <w:rPr>
          <w:rStyle w:val="rvts21"/>
        </w:rPr>
        <w:t>Ordonanţei</w:t>
      </w:r>
      <w:proofErr w:type="spellEnd"/>
      <w:r>
        <w:rPr>
          <w:rStyle w:val="rvts21"/>
        </w:rPr>
        <w:t xml:space="preserve"> de </w:t>
      </w:r>
      <w:proofErr w:type="spellStart"/>
      <w:r>
        <w:rPr>
          <w:rStyle w:val="rvts21"/>
        </w:rPr>
        <w:t>urgenţă</w:t>
      </w:r>
      <w:proofErr w:type="spellEnd"/>
      <w:r>
        <w:rPr>
          <w:rStyle w:val="rvts21"/>
        </w:rPr>
        <w:t xml:space="preserve"> a </w:t>
      </w:r>
      <w:proofErr w:type="spellStart"/>
      <w:r>
        <w:rPr>
          <w:rStyle w:val="rvts21"/>
        </w:rPr>
        <w:t>Guvernului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nr</w:t>
      </w:r>
      <w:proofErr w:type="spellEnd"/>
      <w:r>
        <w:rPr>
          <w:rStyle w:val="rvts21"/>
        </w:rPr>
        <w:t xml:space="preserve">. 77/2011 </w:t>
      </w:r>
      <w:proofErr w:type="spellStart"/>
      <w:r>
        <w:rPr>
          <w:rStyle w:val="rvts21"/>
        </w:rPr>
        <w:t>privind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stabilirea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unor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contribuţii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pentru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finanţarea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unor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cheltuieli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în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domeniul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sănătăţii</w:t>
      </w:r>
      <w:proofErr w:type="spellEnd"/>
      <w:r>
        <w:rPr>
          <w:rStyle w:val="rvts21"/>
        </w:rPr>
        <w:t xml:space="preserve">, </w:t>
      </w:r>
      <w:proofErr w:type="spellStart"/>
      <w:r>
        <w:rPr>
          <w:rStyle w:val="rvts21"/>
        </w:rPr>
        <w:t>publicat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în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Monitorul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Oficial</w:t>
      </w:r>
      <w:proofErr w:type="spellEnd"/>
      <w:r>
        <w:rPr>
          <w:rStyle w:val="rvts21"/>
        </w:rPr>
        <w:t xml:space="preserve"> al </w:t>
      </w:r>
      <w:proofErr w:type="spellStart"/>
      <w:r>
        <w:rPr>
          <w:rStyle w:val="rvts21"/>
        </w:rPr>
        <w:t>României</w:t>
      </w:r>
      <w:proofErr w:type="spellEnd"/>
      <w:r>
        <w:rPr>
          <w:rStyle w:val="rvts21"/>
        </w:rPr>
        <w:t xml:space="preserve">, </w:t>
      </w:r>
      <w:proofErr w:type="spellStart"/>
      <w:r>
        <w:rPr>
          <w:rStyle w:val="rvts21"/>
        </w:rPr>
        <w:t>Partea</w:t>
      </w:r>
      <w:proofErr w:type="spellEnd"/>
      <w:r>
        <w:rPr>
          <w:rStyle w:val="rvts21"/>
        </w:rPr>
        <w:t xml:space="preserve"> I, </w:t>
      </w:r>
      <w:proofErr w:type="spellStart"/>
      <w:r>
        <w:rPr>
          <w:rStyle w:val="rvts21"/>
        </w:rPr>
        <w:t>nr</w:t>
      </w:r>
      <w:proofErr w:type="spellEnd"/>
      <w:r>
        <w:rPr>
          <w:rStyle w:val="rvts21"/>
        </w:rPr>
        <w:t xml:space="preserve">. 319 din 24 </w:t>
      </w:r>
      <w:proofErr w:type="spellStart"/>
      <w:r>
        <w:rPr>
          <w:rStyle w:val="rvts21"/>
        </w:rPr>
        <w:t>aprilie</w:t>
      </w:r>
      <w:proofErr w:type="spellEnd"/>
      <w:r>
        <w:rPr>
          <w:rStyle w:val="rvts21"/>
        </w:rPr>
        <w:t xml:space="preserve"> 2019, cu </w:t>
      </w:r>
      <w:proofErr w:type="spellStart"/>
      <w:r>
        <w:rPr>
          <w:rStyle w:val="rvts21"/>
        </w:rPr>
        <w:t>modific</w:t>
      </w:r>
      <w:proofErr w:type="spellEnd"/>
      <w:r>
        <w:rPr>
          <w:rStyle w:val="rvts21"/>
          <w:lang w:val="ro-RO"/>
        </w:rPr>
        <w:t xml:space="preserve">ările și completările ulterioare se completează după cum urmează: </w:t>
      </w:r>
    </w:p>
    <w:p w:rsidR="00054332" w:rsidRDefault="00054332">
      <w:pPr>
        <w:pStyle w:val="NormalWeb"/>
        <w:jc w:val="both"/>
        <w:rPr>
          <w:rStyle w:val="rvts21"/>
          <w:lang w:val="ro-RO"/>
        </w:rPr>
      </w:pPr>
    </w:p>
    <w:p w:rsidR="00054332" w:rsidRDefault="00100B2F">
      <w:pPr>
        <w:pStyle w:val="NormalWeb"/>
        <w:jc w:val="both"/>
        <w:rPr>
          <w:rStyle w:val="rvts21"/>
          <w:lang w:val="ro-RO"/>
        </w:rPr>
      </w:pPr>
      <w:r>
        <w:rPr>
          <w:rStyle w:val="rvts21"/>
          <w:lang w:val="ro-RO"/>
        </w:rPr>
        <w:t>1.</w:t>
      </w:r>
      <w:proofErr w:type="spellStart"/>
      <w:r w:rsidR="0051696A">
        <w:rPr>
          <w:color w:val="000000"/>
          <w:shd w:val="clear" w:color="auto" w:fill="FFFFFF"/>
        </w:rPr>
        <w:t>D</w:t>
      </w:r>
      <w:r>
        <w:rPr>
          <w:color w:val="000000"/>
          <w:shd w:val="clear" w:color="auto" w:fill="FFFFFF"/>
        </w:rPr>
        <w:t>upă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poziţia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nr</w:t>
      </w:r>
      <w:proofErr w:type="spellEnd"/>
      <w:r>
        <w:rPr>
          <w:color w:val="000000"/>
          <w:shd w:val="clear" w:color="auto" w:fill="FFFFFF"/>
        </w:rPr>
        <w:t xml:space="preserve">. 20 se introduce o </w:t>
      </w:r>
      <w:proofErr w:type="spellStart"/>
      <w:r>
        <w:rPr>
          <w:color w:val="000000"/>
          <w:shd w:val="clear" w:color="auto" w:fill="FFFFFF"/>
        </w:rPr>
        <w:t>nouă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poziţie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poziţia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nr</w:t>
      </w:r>
      <w:proofErr w:type="spellEnd"/>
      <w:r>
        <w:rPr>
          <w:color w:val="000000"/>
          <w:shd w:val="clear" w:color="auto" w:fill="FFFFFF"/>
        </w:rPr>
        <w:t xml:space="preserve">. 21, cu </w:t>
      </w:r>
      <w:proofErr w:type="spellStart"/>
      <w:r>
        <w:rPr>
          <w:color w:val="000000"/>
          <w:shd w:val="clear" w:color="auto" w:fill="FFFFFF"/>
        </w:rPr>
        <w:t>următorul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cuprins</w:t>
      </w:r>
      <w:proofErr w:type="spellEnd"/>
      <w:r>
        <w:rPr>
          <w:color w:val="000000"/>
          <w:shd w:val="clear" w:color="auto" w:fill="FFFFFF"/>
        </w:rPr>
        <w:t>:</w:t>
      </w:r>
    </w:p>
    <w:p w:rsidR="00054332" w:rsidRDefault="00054332">
      <w:pPr>
        <w:pStyle w:val="NormalWeb"/>
      </w:pPr>
      <w:bookmarkStart w:id="3" w:name="7452564"/>
      <w:bookmarkEnd w:id="3"/>
    </w:p>
    <w:tbl>
      <w:tblPr>
        <w:tblW w:w="1070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 w:firstRow="1" w:lastRow="0" w:firstColumn="1" w:lastColumn="0" w:noHBand="0" w:noVBand="1"/>
      </w:tblPr>
      <w:tblGrid>
        <w:gridCol w:w="397"/>
        <w:gridCol w:w="1275"/>
        <w:gridCol w:w="1288"/>
        <w:gridCol w:w="1177"/>
        <w:gridCol w:w="843"/>
        <w:gridCol w:w="1500"/>
        <w:gridCol w:w="1613"/>
        <w:gridCol w:w="1524"/>
        <w:gridCol w:w="1089"/>
      </w:tblGrid>
      <w:tr w:rsidR="00054332">
        <w:trPr>
          <w:divId w:val="1221865583"/>
          <w:trHeight w:val="935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332" w:rsidRDefault="00100B2F">
            <w:pPr>
              <w:pStyle w:val="rvps1"/>
            </w:pPr>
            <w:r>
              <w:rPr>
                <w:rStyle w:val="rvts21"/>
              </w:rPr>
              <w:t>"21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332" w:rsidRDefault="00100B2F">
            <w:pPr>
              <w:pStyle w:val="rvps1"/>
              <w:jc w:val="left"/>
            </w:pPr>
            <w:r>
              <w:rPr>
                <w:rStyle w:val="rvts21"/>
              </w:rPr>
              <w:t>W70741001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332" w:rsidRDefault="00100B2F">
            <w:pPr>
              <w:pStyle w:val="NormalWeb"/>
              <w:jc w:val="center"/>
            </w:pPr>
            <w:r>
              <w:rPr>
                <w:rStyle w:val="rvts21"/>
              </w:rPr>
              <w:t>TETAVAX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332" w:rsidRDefault="00100B2F">
            <w:pPr>
              <w:pStyle w:val="NormalWeb"/>
            </w:pPr>
            <w:r>
              <w:rPr>
                <w:rStyle w:val="rvts21"/>
              </w:rPr>
              <w:t xml:space="preserve">SUSP. INJ.,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332" w:rsidRDefault="00100B2F">
            <w:r>
              <w:rPr>
                <w:rStyle w:val="rvts21"/>
              </w:rPr>
              <w:t>0,5 ml/</w:t>
            </w:r>
            <w:proofErr w:type="spellStart"/>
            <w:r>
              <w:rPr>
                <w:rStyle w:val="rvts21"/>
              </w:rPr>
              <w:t>doza</w:t>
            </w:r>
            <w:proofErr w:type="spellEnd"/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332" w:rsidRDefault="00100B2F">
            <w:pPr>
              <w:pStyle w:val="NormalWeb"/>
              <w:jc w:val="center"/>
            </w:pPr>
            <w:r>
              <w:rPr>
                <w:rStyle w:val="rvts21"/>
              </w:rPr>
              <w:t>SANOFI WINTHROP INDUSTRIE - FRANȚA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332" w:rsidRDefault="00100B2F">
            <w:pPr>
              <w:pStyle w:val="NormalWeb"/>
              <w:rPr>
                <w:highlight w:val="yellow"/>
              </w:rPr>
            </w:pPr>
            <w:r>
              <w:rPr>
                <w:rStyle w:val="rvts21"/>
              </w:rPr>
              <w:t>VACCIN TETANIC ADSORBIT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332" w:rsidRDefault="00100B2F">
            <w:pPr>
              <w:pStyle w:val="NormalWeb"/>
              <w:rPr>
                <w:highlight w:val="yellow"/>
              </w:rPr>
            </w:pPr>
            <w:r>
              <w:rPr>
                <w:rStyle w:val="rvts21"/>
              </w:rPr>
              <w:t xml:space="preserve">Cutie cu </w:t>
            </w:r>
            <w:proofErr w:type="gramStart"/>
            <w:r>
              <w:rPr>
                <w:rStyle w:val="rvts21"/>
              </w:rPr>
              <w:t xml:space="preserve">1  </w:t>
            </w:r>
            <w:proofErr w:type="spellStart"/>
            <w:r>
              <w:rPr>
                <w:rStyle w:val="rvts21"/>
              </w:rPr>
              <w:t>seringă</w:t>
            </w:r>
            <w:proofErr w:type="spellEnd"/>
            <w:proofErr w:type="gramEnd"/>
            <w:r>
              <w:rPr>
                <w:rStyle w:val="rvts21"/>
              </w:rPr>
              <w:t xml:space="preserve"> </w:t>
            </w:r>
            <w:proofErr w:type="spellStart"/>
            <w:r>
              <w:rPr>
                <w:rStyle w:val="rvts21"/>
              </w:rPr>
              <w:t>preumplută</w:t>
            </w:r>
            <w:proofErr w:type="spellEnd"/>
            <w:r>
              <w:rPr>
                <w:rStyle w:val="rvts21"/>
              </w:rPr>
              <w:t xml:space="preserve"> din </w:t>
            </w:r>
            <w:proofErr w:type="spellStart"/>
            <w:r>
              <w:rPr>
                <w:rStyle w:val="rvts21"/>
              </w:rPr>
              <w:t>sticlă</w:t>
            </w:r>
            <w:proofErr w:type="spellEnd"/>
            <w:r>
              <w:rPr>
                <w:rStyle w:val="rvts21"/>
              </w:rPr>
              <w:t xml:space="preserve"> </w:t>
            </w:r>
            <w:proofErr w:type="spellStart"/>
            <w:r>
              <w:rPr>
                <w:rStyle w:val="rvts21"/>
              </w:rPr>
              <w:t>incoloră</w:t>
            </w:r>
            <w:proofErr w:type="spellEnd"/>
            <w:r>
              <w:rPr>
                <w:rStyle w:val="rvts21"/>
              </w:rPr>
              <w:t xml:space="preserve">, </w:t>
            </w:r>
            <w:proofErr w:type="spellStart"/>
            <w:r>
              <w:rPr>
                <w:rStyle w:val="rvts21"/>
              </w:rPr>
              <w:t>monodoza</w:t>
            </w:r>
            <w:proofErr w:type="spellEnd"/>
            <w:r>
              <w:rPr>
                <w:rStyle w:val="rvts21"/>
              </w:rPr>
              <w:t xml:space="preserve">, </w:t>
            </w:r>
            <w:proofErr w:type="spellStart"/>
            <w:r>
              <w:rPr>
                <w:rStyle w:val="rvts21"/>
              </w:rPr>
              <w:t>prevăzută</w:t>
            </w:r>
            <w:proofErr w:type="spellEnd"/>
            <w:r>
              <w:rPr>
                <w:rStyle w:val="rvts21"/>
              </w:rPr>
              <w:t xml:space="preserve"> cu ac </w:t>
            </w:r>
            <w:proofErr w:type="spellStart"/>
            <w:r>
              <w:rPr>
                <w:rStyle w:val="rvts21"/>
              </w:rPr>
              <w:t>atașat</w:t>
            </w:r>
            <w:proofErr w:type="spellEnd"/>
            <w:r>
              <w:rPr>
                <w:rStyle w:val="rvts21"/>
              </w:rPr>
              <w:t xml:space="preserve"> x 0,5 ml, </w:t>
            </w:r>
            <w:proofErr w:type="spellStart"/>
            <w:r>
              <w:rPr>
                <w:rStyle w:val="rvts21"/>
              </w:rPr>
              <w:t>susp</w:t>
            </w:r>
            <w:proofErr w:type="spellEnd"/>
            <w:r>
              <w:rPr>
                <w:rStyle w:val="rvts21"/>
              </w:rPr>
              <w:t xml:space="preserve">. inj. ( 3 </w:t>
            </w:r>
            <w:proofErr w:type="spellStart"/>
            <w:r>
              <w:rPr>
                <w:rStyle w:val="rvts21"/>
              </w:rPr>
              <w:t>ani</w:t>
            </w:r>
            <w:proofErr w:type="spellEnd"/>
            <w:r>
              <w:rPr>
                <w:rStyle w:val="rvts21"/>
              </w:rPr>
              <w:t>)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332" w:rsidRDefault="00100B2F">
            <w:pPr>
              <w:pStyle w:val="rvps1"/>
            </w:pPr>
            <w:r>
              <w:rPr>
                <w:rStyle w:val="rvts21"/>
              </w:rPr>
              <w:t>J07AM01</w:t>
            </w:r>
            <w:r>
              <w:rPr>
                <w:color w:val="000000"/>
                <w:shd w:val="clear" w:color="auto" w:fill="FFFFFF"/>
              </w:rPr>
              <w:t>"</w:t>
            </w:r>
          </w:p>
        </w:tc>
      </w:tr>
    </w:tbl>
    <w:p w:rsidR="00054332" w:rsidRDefault="00100B2F">
      <w:pPr>
        <w:pStyle w:val="NormalWeb"/>
        <w:jc w:val="both"/>
        <w:rPr>
          <w:rStyle w:val="rvts61"/>
        </w:rPr>
      </w:pPr>
      <w:bookmarkStart w:id="4" w:name="7452565"/>
      <w:bookmarkEnd w:id="4"/>
      <w:r>
        <w:rPr>
          <w:rStyle w:val="rvts61"/>
        </w:rPr>
        <w:t>   </w:t>
      </w:r>
    </w:p>
    <w:p w:rsidR="00054332" w:rsidRDefault="00100B2F">
      <w:pPr>
        <w:pStyle w:val="NormalWeb"/>
        <w:ind w:firstLine="720"/>
        <w:jc w:val="both"/>
        <w:rPr>
          <w:rStyle w:val="rvts21"/>
          <w:lang w:val="ro-RO"/>
        </w:rPr>
      </w:pPr>
      <w:r>
        <w:rPr>
          <w:rStyle w:val="rvts61"/>
        </w:rPr>
        <w:t xml:space="preserve"> Art. II - </w:t>
      </w:r>
      <w:proofErr w:type="spellStart"/>
      <w:r>
        <w:rPr>
          <w:rStyle w:val="rvts21"/>
        </w:rPr>
        <w:t>Direcţiile</w:t>
      </w:r>
      <w:proofErr w:type="spellEnd"/>
      <w:r>
        <w:rPr>
          <w:rStyle w:val="rvts21"/>
        </w:rPr>
        <w:t xml:space="preserve"> de </w:t>
      </w:r>
      <w:proofErr w:type="spellStart"/>
      <w:r>
        <w:rPr>
          <w:rStyle w:val="rvts21"/>
        </w:rPr>
        <w:t>specialitate</w:t>
      </w:r>
      <w:proofErr w:type="spellEnd"/>
      <w:r>
        <w:rPr>
          <w:rStyle w:val="rvts21"/>
        </w:rPr>
        <w:t xml:space="preserve"> din </w:t>
      </w:r>
      <w:proofErr w:type="spellStart"/>
      <w:r>
        <w:rPr>
          <w:rStyle w:val="rvts21"/>
        </w:rPr>
        <w:t>cadrul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Ministerului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Sănătăţii</w:t>
      </w:r>
      <w:proofErr w:type="spellEnd"/>
      <w:r>
        <w:rPr>
          <w:rStyle w:val="rvts21"/>
        </w:rPr>
        <w:t xml:space="preserve">, </w:t>
      </w:r>
      <w:proofErr w:type="spellStart"/>
      <w:r>
        <w:rPr>
          <w:rStyle w:val="rvts21"/>
        </w:rPr>
        <w:t>Casei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Naţionale</w:t>
      </w:r>
      <w:proofErr w:type="spellEnd"/>
      <w:r>
        <w:rPr>
          <w:rStyle w:val="rvts21"/>
        </w:rPr>
        <w:t xml:space="preserve"> de </w:t>
      </w:r>
      <w:proofErr w:type="spellStart"/>
      <w:r>
        <w:rPr>
          <w:rStyle w:val="rvts21"/>
        </w:rPr>
        <w:t>Asigurări</w:t>
      </w:r>
      <w:proofErr w:type="spellEnd"/>
      <w:r>
        <w:rPr>
          <w:rStyle w:val="rvts21"/>
        </w:rPr>
        <w:t xml:space="preserve"> de </w:t>
      </w:r>
      <w:proofErr w:type="spellStart"/>
      <w:r>
        <w:rPr>
          <w:rStyle w:val="rvts21"/>
        </w:rPr>
        <w:t>Sănătate</w:t>
      </w:r>
      <w:proofErr w:type="spellEnd"/>
      <w:r>
        <w:rPr>
          <w:rStyle w:val="rvts21"/>
        </w:rPr>
        <w:t xml:space="preserve">, </w:t>
      </w:r>
      <w:proofErr w:type="spellStart"/>
      <w:r>
        <w:rPr>
          <w:rStyle w:val="rvts21"/>
        </w:rPr>
        <w:t>direcţiile</w:t>
      </w:r>
      <w:proofErr w:type="spellEnd"/>
      <w:r>
        <w:rPr>
          <w:rStyle w:val="rvts21"/>
        </w:rPr>
        <w:t xml:space="preserve"> de </w:t>
      </w:r>
      <w:proofErr w:type="spellStart"/>
      <w:r>
        <w:rPr>
          <w:rStyle w:val="rvts21"/>
        </w:rPr>
        <w:t>sănătate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publică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şi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casele</w:t>
      </w:r>
      <w:proofErr w:type="spellEnd"/>
      <w:r>
        <w:rPr>
          <w:rStyle w:val="rvts21"/>
        </w:rPr>
        <w:t xml:space="preserve"> de </w:t>
      </w:r>
      <w:proofErr w:type="spellStart"/>
      <w:r>
        <w:rPr>
          <w:rStyle w:val="rvts21"/>
        </w:rPr>
        <w:t>asigurări</w:t>
      </w:r>
      <w:proofErr w:type="spellEnd"/>
      <w:r>
        <w:rPr>
          <w:rStyle w:val="rvts21"/>
        </w:rPr>
        <w:t xml:space="preserve"> de </w:t>
      </w:r>
      <w:proofErr w:type="spellStart"/>
      <w:r>
        <w:rPr>
          <w:rStyle w:val="rvts21"/>
        </w:rPr>
        <w:t>sănătate</w:t>
      </w:r>
      <w:proofErr w:type="spellEnd"/>
      <w:r>
        <w:rPr>
          <w:rStyle w:val="rvts21"/>
        </w:rPr>
        <w:t xml:space="preserve">, </w:t>
      </w:r>
      <w:proofErr w:type="spellStart"/>
      <w:r>
        <w:rPr>
          <w:rStyle w:val="rvts21"/>
        </w:rPr>
        <w:t>unităţile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sanitare</w:t>
      </w:r>
      <w:proofErr w:type="spellEnd"/>
      <w:r>
        <w:rPr>
          <w:rStyle w:val="rvts21"/>
        </w:rPr>
        <w:t xml:space="preserve"> cu </w:t>
      </w:r>
      <w:proofErr w:type="spellStart"/>
      <w:r>
        <w:rPr>
          <w:rStyle w:val="rvts21"/>
        </w:rPr>
        <w:t>paturi</w:t>
      </w:r>
      <w:proofErr w:type="spellEnd"/>
      <w:r>
        <w:rPr>
          <w:rStyle w:val="rvts21"/>
        </w:rPr>
        <w:t xml:space="preserve">, </w:t>
      </w:r>
      <w:proofErr w:type="spellStart"/>
      <w:r>
        <w:rPr>
          <w:rStyle w:val="rvts21"/>
        </w:rPr>
        <w:t>centrele</w:t>
      </w:r>
      <w:proofErr w:type="spellEnd"/>
      <w:r>
        <w:rPr>
          <w:rStyle w:val="rvts21"/>
        </w:rPr>
        <w:t xml:space="preserve"> de </w:t>
      </w:r>
      <w:proofErr w:type="spellStart"/>
      <w:r>
        <w:rPr>
          <w:rStyle w:val="rvts21"/>
        </w:rPr>
        <w:t>dializă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şi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deţinătorii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autorizaţiilor</w:t>
      </w:r>
      <w:proofErr w:type="spellEnd"/>
      <w:r>
        <w:rPr>
          <w:rStyle w:val="rvts21"/>
        </w:rPr>
        <w:t xml:space="preserve"> de </w:t>
      </w:r>
      <w:proofErr w:type="spellStart"/>
      <w:r>
        <w:rPr>
          <w:rStyle w:val="rvts21"/>
        </w:rPr>
        <w:t>punere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pe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piaţă</w:t>
      </w:r>
      <w:proofErr w:type="spellEnd"/>
      <w:r>
        <w:rPr>
          <w:rStyle w:val="rvts21"/>
        </w:rPr>
        <w:t xml:space="preserve"> a </w:t>
      </w:r>
      <w:proofErr w:type="spellStart"/>
      <w:r>
        <w:rPr>
          <w:rStyle w:val="rvts21"/>
        </w:rPr>
        <w:t>medicamentelor</w:t>
      </w:r>
      <w:proofErr w:type="spellEnd"/>
      <w:r>
        <w:rPr>
          <w:rStyle w:val="rvts21"/>
        </w:rPr>
        <w:t xml:space="preserve"> care </w:t>
      </w:r>
      <w:proofErr w:type="spellStart"/>
      <w:r>
        <w:rPr>
          <w:rStyle w:val="rvts21"/>
        </w:rPr>
        <w:t>sunt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persoane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juridice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române</w:t>
      </w:r>
      <w:proofErr w:type="spellEnd"/>
      <w:r>
        <w:rPr>
          <w:rStyle w:val="rvts21"/>
        </w:rPr>
        <w:t xml:space="preserve">, </w:t>
      </w:r>
      <w:proofErr w:type="spellStart"/>
      <w:r>
        <w:rPr>
          <w:rStyle w:val="rvts21"/>
        </w:rPr>
        <w:t>precum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şi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reprezentanţii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legali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ai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deţinătorilor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autorizaţiilor</w:t>
      </w:r>
      <w:proofErr w:type="spellEnd"/>
      <w:r>
        <w:rPr>
          <w:rStyle w:val="rvts21"/>
        </w:rPr>
        <w:t xml:space="preserve"> de </w:t>
      </w:r>
      <w:proofErr w:type="spellStart"/>
      <w:r>
        <w:rPr>
          <w:rStyle w:val="rvts21"/>
        </w:rPr>
        <w:t>punere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pe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piaţă</w:t>
      </w:r>
      <w:proofErr w:type="spellEnd"/>
      <w:r>
        <w:rPr>
          <w:rStyle w:val="rvts21"/>
        </w:rPr>
        <w:t xml:space="preserve"> a </w:t>
      </w:r>
      <w:proofErr w:type="spellStart"/>
      <w:r>
        <w:rPr>
          <w:rStyle w:val="rvts21"/>
        </w:rPr>
        <w:t>medicamentelor</w:t>
      </w:r>
      <w:proofErr w:type="spellEnd"/>
      <w:r>
        <w:rPr>
          <w:rStyle w:val="rvts21"/>
        </w:rPr>
        <w:t xml:space="preserve"> care nu </w:t>
      </w:r>
      <w:proofErr w:type="spellStart"/>
      <w:r>
        <w:rPr>
          <w:rStyle w:val="rvts21"/>
        </w:rPr>
        <w:t>sunt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persoane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juridice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române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vor</w:t>
      </w:r>
      <w:proofErr w:type="spellEnd"/>
      <w:r>
        <w:rPr>
          <w:rStyle w:val="rvts21"/>
        </w:rPr>
        <w:t xml:space="preserve"> duce la </w:t>
      </w:r>
      <w:proofErr w:type="spellStart"/>
      <w:r>
        <w:rPr>
          <w:rStyle w:val="rvts21"/>
        </w:rPr>
        <w:t>îndeplinire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prevederile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prezentului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ordin</w:t>
      </w:r>
      <w:proofErr w:type="spellEnd"/>
      <w:r>
        <w:rPr>
          <w:rStyle w:val="rvts21"/>
        </w:rPr>
        <w:t>.</w:t>
      </w:r>
    </w:p>
    <w:p w:rsidR="00054332" w:rsidRDefault="00054332">
      <w:pPr>
        <w:pStyle w:val="NormalWeb"/>
      </w:pPr>
    </w:p>
    <w:p w:rsidR="00054332" w:rsidRDefault="00100B2F">
      <w:pPr>
        <w:pStyle w:val="NormalWeb"/>
      </w:pPr>
      <w:bookmarkStart w:id="5" w:name="7452566"/>
      <w:bookmarkEnd w:id="5"/>
      <w:r>
        <w:rPr>
          <w:rStyle w:val="rvts61"/>
        </w:rPr>
        <w:t>             Art. III - </w:t>
      </w:r>
      <w:proofErr w:type="spellStart"/>
      <w:r>
        <w:rPr>
          <w:rStyle w:val="rvts21"/>
        </w:rPr>
        <w:t>Prezentul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ordin</w:t>
      </w:r>
      <w:proofErr w:type="spellEnd"/>
      <w:r>
        <w:rPr>
          <w:rStyle w:val="rvts21"/>
        </w:rPr>
        <w:t xml:space="preserve"> se </w:t>
      </w:r>
      <w:proofErr w:type="spellStart"/>
      <w:r>
        <w:rPr>
          <w:rStyle w:val="rvts21"/>
        </w:rPr>
        <w:t>publică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în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Monitorul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Oficial</w:t>
      </w:r>
      <w:proofErr w:type="spellEnd"/>
      <w:r>
        <w:rPr>
          <w:rStyle w:val="rvts21"/>
        </w:rPr>
        <w:t xml:space="preserve"> al </w:t>
      </w:r>
      <w:proofErr w:type="spellStart"/>
      <w:r>
        <w:rPr>
          <w:rStyle w:val="rvts21"/>
        </w:rPr>
        <w:t>României</w:t>
      </w:r>
      <w:proofErr w:type="spellEnd"/>
      <w:r>
        <w:rPr>
          <w:rStyle w:val="rvts21"/>
        </w:rPr>
        <w:t xml:space="preserve">, </w:t>
      </w:r>
      <w:proofErr w:type="spellStart"/>
      <w:r>
        <w:rPr>
          <w:rStyle w:val="rvts21"/>
        </w:rPr>
        <w:t>Partea</w:t>
      </w:r>
      <w:proofErr w:type="spellEnd"/>
      <w:r>
        <w:rPr>
          <w:rStyle w:val="rvts21"/>
        </w:rPr>
        <w:t xml:space="preserve"> I.</w:t>
      </w:r>
    </w:p>
    <w:p w:rsidR="00054332" w:rsidRDefault="00054332">
      <w:pPr>
        <w:pStyle w:val="NormalWeb"/>
      </w:pPr>
    </w:p>
    <w:p w:rsidR="00054332" w:rsidRDefault="00054332">
      <w:pPr>
        <w:pStyle w:val="NormalWeb"/>
      </w:pPr>
    </w:p>
    <w:p w:rsidR="00054332" w:rsidRDefault="00054332">
      <w:pPr>
        <w:pStyle w:val="NormalWeb"/>
      </w:pPr>
    </w:p>
    <w:p w:rsidR="00054332" w:rsidRDefault="00054332">
      <w:pPr>
        <w:pStyle w:val="NormalWeb"/>
      </w:pPr>
    </w:p>
    <w:p w:rsidR="00BF536E" w:rsidRDefault="00100B2F" w:rsidP="00BF536E">
      <w:pPr>
        <w:spacing w:line="276" w:lineRule="auto"/>
        <w:contextualSpacing/>
        <w:jc w:val="center"/>
        <w:rPr>
          <w:b/>
          <w:bCs/>
        </w:rPr>
      </w:pPr>
      <w:bookmarkStart w:id="6" w:name="7452567"/>
      <w:bookmarkEnd w:id="6"/>
      <w:r>
        <w:rPr>
          <w:b/>
        </w:rPr>
        <w:t xml:space="preserve">      </w:t>
      </w:r>
      <w:proofErr w:type="gramStart"/>
      <w:r w:rsidR="00BF536E" w:rsidRPr="009662A5">
        <w:rPr>
          <w:b/>
          <w:bCs/>
        </w:rPr>
        <w:t>p</w:t>
      </w:r>
      <w:proofErr w:type="gramEnd"/>
      <w:r w:rsidR="00BF536E" w:rsidRPr="009662A5">
        <w:rPr>
          <w:b/>
          <w:bCs/>
        </w:rPr>
        <w:t>. MINISTRUL SĂNĂTĂȚII</w:t>
      </w:r>
    </w:p>
    <w:p w:rsidR="00BF536E" w:rsidRPr="009662A5" w:rsidRDefault="00BF536E" w:rsidP="00BF536E">
      <w:pPr>
        <w:spacing w:line="276" w:lineRule="auto"/>
        <w:contextualSpacing/>
        <w:jc w:val="center"/>
        <w:rPr>
          <w:b/>
          <w:bCs/>
        </w:rPr>
      </w:pPr>
      <w:r w:rsidRPr="0034245B">
        <w:rPr>
          <w:b/>
        </w:rPr>
        <w:t>DAMIAN CLAUDIU CONSTANTIN</w:t>
      </w:r>
      <w:r w:rsidRPr="0034245B">
        <w:rPr>
          <w:rFonts w:eastAsia="Calibri"/>
          <w:b/>
        </w:rPr>
        <w:t xml:space="preserve">                                                                </w:t>
      </w:r>
    </w:p>
    <w:p w:rsidR="00BF536E" w:rsidRPr="009662A5" w:rsidRDefault="00BF536E" w:rsidP="00BF536E">
      <w:pPr>
        <w:spacing w:line="276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    </w:t>
      </w:r>
      <w:r w:rsidRPr="009662A5">
        <w:rPr>
          <w:b/>
          <w:bCs/>
        </w:rPr>
        <w:t>SECRETAR DE STAT</w:t>
      </w:r>
    </w:p>
    <w:p w:rsidR="00054332" w:rsidRDefault="00054332" w:rsidP="00BF536E">
      <w:pPr>
        <w:autoSpaceDE w:val="0"/>
        <w:autoSpaceDN w:val="0"/>
        <w:adjustRightInd w:val="0"/>
        <w:jc w:val="center"/>
      </w:pPr>
    </w:p>
    <w:p w:rsidR="00054332" w:rsidRDefault="00054332"/>
    <w:p w:rsidR="00054332" w:rsidRDefault="00054332"/>
    <w:p w:rsidR="00054332" w:rsidRDefault="00054332"/>
    <w:p w:rsidR="00054332" w:rsidRDefault="00100B2F">
      <w:pPr>
        <w:jc w:val="center"/>
        <w:rPr>
          <w:b/>
          <w:bCs/>
        </w:rPr>
      </w:pPr>
      <w:r>
        <w:tab/>
      </w:r>
      <w:r>
        <w:rPr>
          <w:b/>
          <w:bCs/>
        </w:rPr>
        <w:t>FIȘA DE AVIZARE INTERNĂ</w:t>
      </w:r>
    </w:p>
    <w:p w:rsidR="00054332" w:rsidRDefault="00054332">
      <w:pPr>
        <w:jc w:val="center"/>
        <w:rPr>
          <w:b/>
          <w:bCs/>
        </w:rPr>
      </w:pPr>
    </w:p>
    <w:p w:rsidR="00054332" w:rsidRDefault="00100B2F">
      <w:pPr>
        <w:jc w:val="center"/>
        <w:rPr>
          <w:b/>
          <w:bCs/>
        </w:rPr>
      </w:pPr>
      <w:r>
        <w:rPr>
          <w:b/>
          <w:bCs/>
        </w:rPr>
        <w:t xml:space="preserve">ORDIN  </w:t>
      </w:r>
    </w:p>
    <w:p w:rsidR="00054332" w:rsidRDefault="00054332">
      <w:pPr>
        <w:pStyle w:val="Default"/>
        <w:jc w:val="center"/>
        <w:rPr>
          <w:b/>
          <w:lang w:val="pt-BR"/>
        </w:rPr>
      </w:pPr>
    </w:p>
    <w:p w:rsidR="00054332" w:rsidRDefault="00100B2F">
      <w:pPr>
        <w:pStyle w:val="Default"/>
        <w:jc w:val="center"/>
        <w:rPr>
          <w:b/>
          <w:lang w:val="ro-RO"/>
        </w:rPr>
      </w:pPr>
      <w:r>
        <w:rPr>
          <w:b/>
          <w:lang w:val="pt-BR"/>
        </w:rPr>
        <w:t>pentru completarea anexei la Ordinul ministrului s</w:t>
      </w:r>
      <w:r>
        <w:rPr>
          <w:b/>
          <w:lang w:val="ro-RO"/>
        </w:rPr>
        <w:t>ănătății nr. 607/2019 privind aprobarea listei vaccinurilor achiziționate în cadrul programelor naționale de sănătate pentru care nu se datorează contribuții trimestriale calculate conform Ordonanței de urgență a Guvernului nr. 77/2011 privind stabilirea unor contribuții pentru finanțarea unor cheltuieli în domeniul sănătății</w:t>
      </w:r>
    </w:p>
    <w:p w:rsidR="00054332" w:rsidRDefault="00054332">
      <w:pPr>
        <w:jc w:val="center"/>
        <w:rPr>
          <w:b/>
          <w:bCs/>
        </w:rPr>
      </w:pPr>
    </w:p>
    <w:p w:rsidR="00054332" w:rsidRDefault="00054332">
      <w:pPr>
        <w:jc w:val="center"/>
        <w:rPr>
          <w:b/>
          <w:bCs/>
        </w:rPr>
      </w:pPr>
    </w:p>
    <w:tbl>
      <w:tblPr>
        <w:tblpPr w:leftFromText="180" w:rightFromText="180" w:vertAnchor="text" w:horzAnchor="margin" w:tblpXSpec="center" w:tblpY="92"/>
        <w:tblW w:w="10910" w:type="dxa"/>
        <w:tblLayout w:type="fixed"/>
        <w:tblLook w:val="04A0" w:firstRow="1" w:lastRow="0" w:firstColumn="1" w:lastColumn="0" w:noHBand="0" w:noVBand="1"/>
      </w:tblPr>
      <w:tblGrid>
        <w:gridCol w:w="5807"/>
        <w:gridCol w:w="1701"/>
        <w:gridCol w:w="1569"/>
        <w:gridCol w:w="1833"/>
      </w:tblGrid>
      <w:tr w:rsidR="00054332" w:rsidTr="00182A94">
        <w:trPr>
          <w:trHeight w:val="84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332" w:rsidRDefault="00100B2F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STRUCTURI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332" w:rsidRDefault="00100B2F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DATA SOLICITĂRII AVIZULUI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332" w:rsidRDefault="00100B2F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DATA OBŢINERII AVIZULUI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332" w:rsidRDefault="00100B2F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SEMNĂTURA</w:t>
            </w:r>
          </w:p>
        </w:tc>
      </w:tr>
      <w:tr w:rsidR="00054332" w:rsidTr="00182A94">
        <w:trPr>
          <w:trHeight w:val="266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332" w:rsidRDefault="00100B2F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STRUCTURA INIŢIATOARE</w:t>
            </w:r>
          </w:p>
        </w:tc>
      </w:tr>
      <w:tr w:rsidR="00054332" w:rsidTr="00182A94">
        <w:trPr>
          <w:trHeight w:val="1512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54332" w:rsidRDefault="00100B2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Direcția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generală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asistență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medicală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și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sănătate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publică</w:t>
            </w:r>
            <w:proofErr w:type="spellEnd"/>
          </w:p>
          <w:p w:rsidR="00054332" w:rsidRDefault="00100B2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Dr. Mihaela BARDOS –  Director general </w:t>
            </w:r>
            <w:r>
              <w:rPr>
                <w:rFonts w:eastAsia="Calibri"/>
                <w:b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54332" w:rsidRDefault="00054332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eastAsia="Calibri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54332" w:rsidRDefault="00054332">
            <w:pPr>
              <w:rPr>
                <w:rFonts w:eastAsia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54332" w:rsidRDefault="000543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54332" w:rsidTr="00182A94">
        <w:trPr>
          <w:trHeight w:val="1512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54332" w:rsidRDefault="00100B2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Direcția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Style w:val="rvts21"/>
              </w:rPr>
              <w:t>Programe</w:t>
            </w:r>
            <w:proofErr w:type="spellEnd"/>
            <w:r>
              <w:rPr>
                <w:rStyle w:val="rvts21"/>
              </w:rPr>
              <w:t xml:space="preserve"> de </w:t>
            </w:r>
            <w:proofErr w:type="spellStart"/>
            <w:r>
              <w:rPr>
                <w:rStyle w:val="rvts21"/>
              </w:rPr>
              <w:t>sănătate</w:t>
            </w:r>
            <w:proofErr w:type="spellEnd"/>
            <w:r>
              <w:rPr>
                <w:rStyle w:val="rvts21"/>
              </w:rPr>
              <w:t xml:space="preserve"> </w:t>
            </w:r>
            <w:proofErr w:type="spellStart"/>
            <w:r>
              <w:rPr>
                <w:rStyle w:val="rvts21"/>
              </w:rPr>
              <w:t>publică</w:t>
            </w:r>
            <w:proofErr w:type="spellEnd"/>
          </w:p>
          <w:p w:rsidR="00054332" w:rsidRDefault="00100B2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Dr. Ioana POPINCEANU –  Director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54332" w:rsidRDefault="00054332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eastAsia="Calibri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54332" w:rsidRDefault="00054332">
            <w:pPr>
              <w:rPr>
                <w:rFonts w:eastAsia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54332" w:rsidRDefault="000543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54332" w:rsidTr="00182A94">
        <w:trPr>
          <w:trHeight w:val="1512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54332" w:rsidRDefault="00100B2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Serviciu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sănătate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publică</w:t>
            </w:r>
            <w:proofErr w:type="spellEnd"/>
          </w:p>
          <w:p w:rsidR="00054332" w:rsidRDefault="00100B2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Dr. </w:t>
            </w:r>
            <w:proofErr w:type="spellStart"/>
            <w:r>
              <w:rPr>
                <w:rFonts w:eastAsia="Calibri"/>
                <w:b/>
              </w:rPr>
              <w:t>ec.</w:t>
            </w:r>
            <w:proofErr w:type="spellEnd"/>
            <w:r>
              <w:rPr>
                <w:rFonts w:eastAsia="Calibri"/>
                <w:b/>
              </w:rPr>
              <w:t xml:space="preserve"> Avian Daniel POP – </w:t>
            </w:r>
            <w:proofErr w:type="spellStart"/>
            <w:r>
              <w:rPr>
                <w:rFonts w:eastAsia="Calibri"/>
                <w:b/>
              </w:rPr>
              <w:t>Șef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serviciu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54332" w:rsidRDefault="00054332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eastAsia="Calibri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54332" w:rsidRDefault="00054332">
            <w:pPr>
              <w:rPr>
                <w:rFonts w:eastAsia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54332" w:rsidRDefault="000543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54332" w:rsidTr="00182A94">
        <w:trPr>
          <w:trHeight w:val="428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332" w:rsidRDefault="00100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STRUCTURI AVIZATOARE</w:t>
            </w:r>
          </w:p>
        </w:tc>
      </w:tr>
      <w:tr w:rsidR="00054332" w:rsidTr="00182A94">
        <w:trPr>
          <w:trHeight w:val="909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332" w:rsidRDefault="00100B2F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Direcţia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farmaceutică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și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dispozitive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medicale</w:t>
            </w:r>
            <w:proofErr w:type="spellEnd"/>
          </w:p>
          <w:p w:rsidR="00054332" w:rsidRDefault="00100B2F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Monica NEGOVAN - Director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332" w:rsidRDefault="00054332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eastAsia="Calibri"/>
              </w:rPr>
            </w:pPr>
          </w:p>
          <w:p w:rsidR="00054332" w:rsidRDefault="00054332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eastAsia="Calibri"/>
              </w:rPr>
            </w:pPr>
          </w:p>
          <w:p w:rsidR="00054332" w:rsidRDefault="00054332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eastAsia="Calibri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332" w:rsidRDefault="00054332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eastAsia="Calibri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332" w:rsidRDefault="00054332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eastAsia="Calibri"/>
              </w:rPr>
            </w:pPr>
          </w:p>
        </w:tc>
      </w:tr>
      <w:tr w:rsidR="00054332" w:rsidTr="00182A94">
        <w:trPr>
          <w:trHeight w:val="90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54332" w:rsidRDefault="00100B2F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Direcția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generală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juridică</w:t>
            </w:r>
            <w:proofErr w:type="spellEnd"/>
            <w:r>
              <w:rPr>
                <w:rFonts w:eastAsia="Calibri"/>
              </w:rPr>
              <w:t xml:space="preserve"> </w:t>
            </w:r>
          </w:p>
          <w:p w:rsidR="00054332" w:rsidRDefault="00100B2F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Jr. </w:t>
            </w:r>
            <w:proofErr w:type="spellStart"/>
            <w:r>
              <w:rPr>
                <w:rFonts w:eastAsia="Calibri"/>
                <w:b/>
                <w:bCs/>
              </w:rPr>
              <w:t>Ionuţ</w:t>
            </w:r>
            <w:proofErr w:type="spellEnd"/>
            <w:r>
              <w:rPr>
                <w:rFonts w:eastAsia="Calibri"/>
                <w:b/>
                <w:bCs/>
              </w:rPr>
              <w:t xml:space="preserve"> Sebastian IAVOR – Director general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332" w:rsidRDefault="00054332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eastAsia="Calibri"/>
              </w:rPr>
            </w:pPr>
          </w:p>
          <w:p w:rsidR="00054332" w:rsidRDefault="00054332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eastAsia="Calibri"/>
              </w:rPr>
            </w:pPr>
          </w:p>
          <w:p w:rsidR="00054332" w:rsidRDefault="00054332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eastAsia="Calibri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332" w:rsidRDefault="00054332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eastAsia="Calibri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332" w:rsidRDefault="00054332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eastAsia="Calibri"/>
              </w:rPr>
            </w:pPr>
          </w:p>
        </w:tc>
      </w:tr>
      <w:tr w:rsidR="00054332" w:rsidTr="00182A94">
        <w:trPr>
          <w:trHeight w:val="909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4332" w:rsidRDefault="00100B2F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Serviciul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avizare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acte</w:t>
            </w:r>
            <w:proofErr w:type="spellEnd"/>
            <w:r>
              <w:rPr>
                <w:rFonts w:eastAsia="Calibri"/>
              </w:rPr>
              <w:t xml:space="preserve"> normative</w:t>
            </w:r>
          </w:p>
          <w:p w:rsidR="00054332" w:rsidRDefault="00100B2F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Jr. </w:t>
            </w:r>
            <w:proofErr w:type="spellStart"/>
            <w:r>
              <w:rPr>
                <w:rFonts w:eastAsia="Calibri"/>
                <w:b/>
                <w:bCs/>
              </w:rPr>
              <w:t>Constanţa</w:t>
            </w:r>
            <w:proofErr w:type="spellEnd"/>
            <w:r>
              <w:rPr>
                <w:rFonts w:eastAsia="Calibri"/>
                <w:b/>
                <w:bCs/>
              </w:rPr>
              <w:t xml:space="preserve"> Dana EFTIMIE - </w:t>
            </w:r>
            <w:proofErr w:type="spellStart"/>
            <w:r>
              <w:rPr>
                <w:rFonts w:eastAsia="Calibri"/>
                <w:b/>
                <w:bCs/>
              </w:rPr>
              <w:t>Șef</w:t>
            </w:r>
            <w:proofErr w:type="spellEnd"/>
            <w:r>
              <w:rPr>
                <w:rFonts w:eastAsia="Calibri"/>
                <w:b/>
                <w:bCs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</w:rPr>
              <w:t>serviciu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332" w:rsidRDefault="00054332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eastAsia="Calibri"/>
              </w:rPr>
            </w:pPr>
          </w:p>
          <w:p w:rsidR="00054332" w:rsidRDefault="00054332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eastAsia="Calibri"/>
              </w:rPr>
            </w:pPr>
          </w:p>
          <w:p w:rsidR="00054332" w:rsidRDefault="00054332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eastAsia="Calibri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332" w:rsidRDefault="00054332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eastAsia="Calibri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332" w:rsidRDefault="00054332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eastAsia="Calibri"/>
              </w:rPr>
            </w:pPr>
          </w:p>
        </w:tc>
      </w:tr>
      <w:tr w:rsidR="00054332" w:rsidTr="00182A94">
        <w:trPr>
          <w:trHeight w:val="82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332" w:rsidRDefault="00100B2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SECRETAR  GENERAL</w:t>
            </w:r>
          </w:p>
          <w:p w:rsidR="00054332" w:rsidRDefault="00100B2F">
            <w:pPr>
              <w:rPr>
                <w:b/>
              </w:rPr>
            </w:pPr>
            <w:r>
              <w:rPr>
                <w:b/>
              </w:rPr>
              <w:t xml:space="preserve">Ec. </w:t>
            </w:r>
            <w:proofErr w:type="spellStart"/>
            <w:r>
              <w:rPr>
                <w:b/>
              </w:rPr>
              <w:t>Georgeta</w:t>
            </w:r>
            <w:proofErr w:type="spellEnd"/>
            <w:r>
              <w:rPr>
                <w:b/>
              </w:rPr>
              <w:t xml:space="preserve"> BUMBAC</w:t>
            </w:r>
          </w:p>
          <w:p w:rsidR="00182A94" w:rsidRDefault="00182A94">
            <w:pPr>
              <w:rPr>
                <w:b/>
              </w:rPr>
            </w:pPr>
          </w:p>
          <w:p w:rsidR="00054332" w:rsidRDefault="00054332">
            <w:pPr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332" w:rsidRDefault="00054332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eastAsia="Calibri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332" w:rsidRDefault="00054332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eastAsia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332" w:rsidRDefault="00054332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eastAsia="Calibri"/>
              </w:rPr>
            </w:pPr>
          </w:p>
        </w:tc>
      </w:tr>
    </w:tbl>
    <w:p w:rsidR="00100B2F" w:rsidRDefault="00100B2F">
      <w:pPr>
        <w:tabs>
          <w:tab w:val="left" w:pos="4170"/>
        </w:tabs>
      </w:pPr>
    </w:p>
    <w:sectPr w:rsidR="00100B2F">
      <w:pgSz w:w="11907" w:h="16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F4"/>
    <w:rsid w:val="00054332"/>
    <w:rsid w:val="00100B2F"/>
    <w:rsid w:val="00182A94"/>
    <w:rsid w:val="003010F4"/>
    <w:rsid w:val="0051696A"/>
    <w:rsid w:val="00680F76"/>
    <w:rsid w:val="00754198"/>
    <w:rsid w:val="00B0131D"/>
    <w:rsid w:val="00B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.com:office:office"/>
  <w:attachedSchema w:val="urn:schemas-microsoft.com:office:wor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3A71F-F49E-4022-9F97-F18E3655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eastAsiaTheme="minorEastAsia" w:hAnsi="Segoe UI" w:cs="Segoe UI" w:hint="default"/>
      <w:sz w:val="18"/>
      <w:szCs w:val="18"/>
    </w:rPr>
  </w:style>
  <w:style w:type="paragraph" w:customStyle="1" w:styleId="section1">
    <w:name w:val="section1"/>
    <w:basedOn w:val="Normal"/>
    <w:uiPriority w:val="99"/>
    <w:semiHidden/>
  </w:style>
  <w:style w:type="paragraph" w:customStyle="1" w:styleId="rvts0">
    <w:name w:val="rvts0"/>
    <w:basedOn w:val="Normal"/>
    <w:uiPriority w:val="99"/>
    <w:semiHidden/>
    <w:rPr>
      <w:rFonts w:ascii="Arial" w:hAnsi="Arial" w:cs="Arial"/>
      <w:color w:val="000000"/>
      <w:sz w:val="20"/>
      <w:szCs w:val="20"/>
    </w:rPr>
  </w:style>
  <w:style w:type="paragraph" w:customStyle="1" w:styleId="rvts1">
    <w:name w:val="rvts1"/>
    <w:basedOn w:val="Normal"/>
    <w:uiPriority w:val="99"/>
    <w:semiHidden/>
    <w:rPr>
      <w:b/>
      <w:bCs/>
    </w:rPr>
  </w:style>
  <w:style w:type="paragraph" w:customStyle="1" w:styleId="rvts2">
    <w:name w:val="rvts2"/>
    <w:basedOn w:val="Normal"/>
    <w:uiPriority w:val="99"/>
    <w:semiHidden/>
  </w:style>
  <w:style w:type="paragraph" w:customStyle="1" w:styleId="rvts3">
    <w:name w:val="rvts3"/>
    <w:basedOn w:val="Normal"/>
    <w:uiPriority w:val="99"/>
    <w:semiHidden/>
    <w:rPr>
      <w:color w:val="0000FF"/>
      <w:u w:val="single"/>
    </w:rPr>
  </w:style>
  <w:style w:type="paragraph" w:customStyle="1" w:styleId="rvts4">
    <w:name w:val="rvts4"/>
    <w:basedOn w:val="Normal"/>
    <w:uiPriority w:val="99"/>
    <w:semiHidden/>
    <w:rPr>
      <w:color w:val="0000FF"/>
      <w:sz w:val="16"/>
      <w:szCs w:val="16"/>
      <w:u w:val="single"/>
      <w:vertAlign w:val="superscript"/>
    </w:rPr>
  </w:style>
  <w:style w:type="paragraph" w:customStyle="1" w:styleId="rvts5">
    <w:name w:val="rvts5"/>
    <w:basedOn w:val="Normal"/>
    <w:uiPriority w:val="99"/>
    <w:semiHidden/>
    <w:rPr>
      <w:b/>
      <w:bCs/>
    </w:rPr>
  </w:style>
  <w:style w:type="paragraph" w:customStyle="1" w:styleId="rvts6">
    <w:name w:val="rvts6"/>
    <w:basedOn w:val="Normal"/>
    <w:uiPriority w:val="99"/>
    <w:semiHidden/>
    <w:rPr>
      <w:b/>
      <w:bCs/>
      <w:color w:val="000000"/>
    </w:rPr>
  </w:style>
  <w:style w:type="paragraph" w:customStyle="1" w:styleId="rvts7">
    <w:name w:val="rvts7"/>
    <w:basedOn w:val="Normal"/>
    <w:uiPriority w:val="99"/>
    <w:semiHidden/>
    <w:rPr>
      <w:color w:val="000000"/>
    </w:rPr>
  </w:style>
  <w:style w:type="paragraph" w:customStyle="1" w:styleId="rvps1">
    <w:name w:val="rvps1"/>
    <w:basedOn w:val="Normal"/>
    <w:uiPriority w:val="99"/>
    <w:semiHidden/>
    <w:pPr>
      <w:jc w:val="center"/>
    </w:pPr>
  </w:style>
  <w:style w:type="paragraph" w:customStyle="1" w:styleId="rvps2">
    <w:name w:val="rvps2"/>
    <w:basedOn w:val="Normal"/>
    <w:uiPriority w:val="99"/>
    <w:semiHidden/>
    <w:pPr>
      <w:jc w:val="right"/>
    </w:pPr>
  </w:style>
  <w:style w:type="paragraph" w:customStyle="1" w:styleId="Default">
    <w:name w:val="Default"/>
    <w:uiPriority w:val="99"/>
    <w:semiHidden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vts11">
    <w:name w:val="rvts11"/>
    <w:basedOn w:val="DefaultParagraphFont"/>
    <w:rPr>
      <w:b/>
      <w:bCs/>
    </w:rPr>
  </w:style>
  <w:style w:type="character" w:customStyle="1" w:styleId="rvts21">
    <w:name w:val="rvts21"/>
    <w:basedOn w:val="DefaultParagraphFont"/>
    <w:rPr>
      <w:rFonts w:ascii="Times New Roman" w:hAnsi="Times New Roman" w:cs="Times New Roman" w:hint="default"/>
      <w:sz w:val="24"/>
      <w:szCs w:val="24"/>
    </w:rPr>
  </w:style>
  <w:style w:type="character" w:customStyle="1" w:styleId="rvts51">
    <w:name w:val="rvts51"/>
    <w:basedOn w:val="DefaultParagraphFont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61">
    <w:name w:val="rvts61"/>
    <w:basedOn w:val="DefaultParagraphFont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rvts71">
    <w:name w:val="rvts71"/>
    <w:basedOn w:val="DefaultParagraphFont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86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OpenDocumentView(386662,%207403140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User</cp:lastModifiedBy>
  <cp:revision>2</cp:revision>
  <cp:lastPrinted>2025-06-30T06:28:00Z</cp:lastPrinted>
  <dcterms:created xsi:type="dcterms:W3CDTF">2025-07-18T06:14:00Z</dcterms:created>
  <dcterms:modified xsi:type="dcterms:W3CDTF">2025-07-18T06:14:00Z</dcterms:modified>
</cp:coreProperties>
</file>